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1F598" w14:textId="6690B317" w:rsidR="007A27D9" w:rsidRPr="00E30A4C" w:rsidRDefault="007A27D9" w:rsidP="007A27D9">
      <w:pPr>
        <w:pStyle w:val="Default"/>
        <w:tabs>
          <w:tab w:val="left" w:pos="270"/>
        </w:tabs>
        <w:ind w:left="270"/>
        <w:jc w:val="center"/>
        <w:rPr>
          <w:b/>
          <w:bCs/>
          <w:color w:val="auto"/>
          <w:sz w:val="23"/>
          <w:szCs w:val="23"/>
        </w:rPr>
      </w:pPr>
      <w:r w:rsidRPr="00E30A4C">
        <w:rPr>
          <w:b/>
          <w:bCs/>
          <w:color w:val="auto"/>
          <w:sz w:val="23"/>
          <w:szCs w:val="23"/>
        </w:rPr>
        <w:t>Praxis Continuing Education and Training</w:t>
      </w:r>
      <w:r w:rsidR="005A656C">
        <w:rPr>
          <w:b/>
          <w:bCs/>
          <w:color w:val="auto"/>
          <w:sz w:val="23"/>
          <w:szCs w:val="23"/>
        </w:rPr>
        <w:t xml:space="preserve"> by New Harbinger</w:t>
      </w:r>
    </w:p>
    <w:p w14:paraId="62877181" w14:textId="77777777" w:rsidR="007A27D9" w:rsidRDefault="007A27D9" w:rsidP="007A27D9">
      <w:pPr>
        <w:pStyle w:val="Default"/>
        <w:tabs>
          <w:tab w:val="left" w:pos="270"/>
        </w:tabs>
        <w:ind w:left="270"/>
        <w:jc w:val="center"/>
        <w:rPr>
          <w:b/>
          <w:bCs/>
          <w:color w:val="auto"/>
          <w:sz w:val="23"/>
          <w:szCs w:val="23"/>
        </w:rPr>
      </w:pPr>
      <w:r w:rsidRPr="00E30A4C">
        <w:rPr>
          <w:b/>
          <w:bCs/>
          <w:color w:val="auto"/>
          <w:sz w:val="23"/>
          <w:szCs w:val="23"/>
        </w:rPr>
        <w:t>In Joint Sponsorship with the Beck Institute</w:t>
      </w:r>
    </w:p>
    <w:p w14:paraId="3FF42B49" w14:textId="77777777" w:rsidR="00493301" w:rsidRDefault="00493301" w:rsidP="009C7ED6">
      <w:pPr>
        <w:pStyle w:val="Default"/>
        <w:ind w:left="270"/>
        <w:jc w:val="center"/>
        <w:rPr>
          <w:color w:val="auto"/>
          <w:sz w:val="18"/>
          <w:szCs w:val="18"/>
        </w:rPr>
      </w:pPr>
    </w:p>
    <w:p w14:paraId="5B2E1BD4" w14:textId="2DFF3844" w:rsidR="00826F34" w:rsidRPr="00493301" w:rsidRDefault="00493301" w:rsidP="009C7ED6">
      <w:pPr>
        <w:pStyle w:val="Default"/>
        <w:ind w:left="270"/>
        <w:jc w:val="center"/>
        <w:rPr>
          <w:b/>
          <w:bCs/>
          <w:color w:val="auto"/>
          <w:sz w:val="32"/>
          <w:szCs w:val="32"/>
        </w:rPr>
      </w:pPr>
      <w:r w:rsidRPr="00493301">
        <w:rPr>
          <w:b/>
          <w:bCs/>
          <w:color w:val="auto"/>
          <w:sz w:val="32"/>
          <w:szCs w:val="32"/>
        </w:rPr>
        <w:t>CE Information Packet</w:t>
      </w:r>
    </w:p>
    <w:p w14:paraId="47AA2F2E" w14:textId="4C6D4523" w:rsidR="00B30F29" w:rsidRPr="00493301" w:rsidRDefault="00A2376A" w:rsidP="009C7ED6">
      <w:pPr>
        <w:pStyle w:val="CM6"/>
        <w:ind w:left="270"/>
        <w:jc w:val="center"/>
        <w:rPr>
          <w:rFonts w:cs="Calibri"/>
          <w:b/>
          <w:bCs/>
          <w:sz w:val="28"/>
          <w:szCs w:val="28"/>
        </w:rPr>
      </w:pPr>
      <w:r w:rsidRPr="00493301">
        <w:rPr>
          <w:rFonts w:cs="Calibri"/>
          <w:b/>
          <w:bCs/>
          <w:sz w:val="28"/>
          <w:szCs w:val="28"/>
        </w:rPr>
        <w:t>CBT</w:t>
      </w:r>
      <w:r w:rsidR="00065516">
        <w:rPr>
          <w:rFonts w:cs="Calibri"/>
          <w:b/>
          <w:bCs/>
          <w:sz w:val="28"/>
          <w:szCs w:val="28"/>
        </w:rPr>
        <w:t xml:space="preserve"> for Depression</w:t>
      </w:r>
      <w:r w:rsidR="00506AAB" w:rsidRPr="00493301">
        <w:rPr>
          <w:rFonts w:cs="Calibri"/>
          <w:b/>
          <w:bCs/>
          <w:sz w:val="28"/>
          <w:szCs w:val="28"/>
        </w:rPr>
        <w:t xml:space="preserve"> </w:t>
      </w:r>
      <w:r w:rsidR="00EC0F50" w:rsidRPr="00493301">
        <w:rPr>
          <w:rFonts w:cs="Calibri"/>
          <w:b/>
          <w:bCs/>
          <w:sz w:val="28"/>
          <w:szCs w:val="28"/>
        </w:rPr>
        <w:t>O</w:t>
      </w:r>
      <w:r w:rsidR="00493301" w:rsidRPr="00493301">
        <w:rPr>
          <w:rFonts w:cs="Calibri"/>
          <w:b/>
          <w:bCs/>
          <w:sz w:val="28"/>
          <w:szCs w:val="28"/>
        </w:rPr>
        <w:t>n-Demand</w:t>
      </w:r>
      <w:r w:rsidR="00EC0F50" w:rsidRPr="00493301">
        <w:rPr>
          <w:rFonts w:cs="Calibri"/>
          <w:b/>
          <w:bCs/>
          <w:sz w:val="28"/>
          <w:szCs w:val="28"/>
        </w:rPr>
        <w:t xml:space="preserve"> Training Course</w:t>
      </w:r>
      <w:r w:rsidR="00506AAB" w:rsidRPr="00493301">
        <w:rPr>
          <w:rFonts w:cs="Calibri"/>
          <w:b/>
          <w:bCs/>
          <w:sz w:val="28"/>
          <w:szCs w:val="28"/>
        </w:rPr>
        <w:t xml:space="preserve"> </w:t>
      </w:r>
    </w:p>
    <w:p w14:paraId="12EE7C9E" w14:textId="6B1C7EC2" w:rsidR="00826F34" w:rsidRPr="00493301" w:rsidRDefault="00065516" w:rsidP="009C7ED6">
      <w:pPr>
        <w:pStyle w:val="CM6"/>
        <w:ind w:left="270"/>
        <w:jc w:val="center"/>
        <w:rPr>
          <w:rFonts w:cs="Calibri"/>
          <w:sz w:val="23"/>
          <w:szCs w:val="23"/>
        </w:rPr>
      </w:pPr>
      <w:r>
        <w:rPr>
          <w:rFonts w:cs="Calibri"/>
          <w:b/>
          <w:bCs/>
          <w:sz w:val="23"/>
          <w:szCs w:val="23"/>
        </w:rPr>
        <w:t>9.75</w:t>
      </w:r>
      <w:r w:rsidR="00493301" w:rsidRPr="00493301">
        <w:rPr>
          <w:rFonts w:cs="Calibri"/>
          <w:b/>
          <w:bCs/>
          <w:sz w:val="23"/>
          <w:szCs w:val="23"/>
        </w:rPr>
        <w:t xml:space="preserve"> </w:t>
      </w:r>
      <w:r w:rsidR="00506AAB" w:rsidRPr="00493301">
        <w:rPr>
          <w:rFonts w:cs="Calibri"/>
          <w:b/>
          <w:bCs/>
          <w:sz w:val="23"/>
          <w:szCs w:val="23"/>
        </w:rPr>
        <w:t>CE</w:t>
      </w:r>
      <w:r w:rsidR="00493301" w:rsidRPr="00493301">
        <w:rPr>
          <w:rFonts w:cs="Calibri"/>
          <w:b/>
          <w:bCs/>
          <w:sz w:val="23"/>
          <w:szCs w:val="23"/>
        </w:rPr>
        <w:t xml:space="preserve"> Hours</w:t>
      </w:r>
    </w:p>
    <w:p w14:paraId="37A6B57B" w14:textId="77777777" w:rsidR="00016C74" w:rsidRDefault="00016C74" w:rsidP="009C7ED6">
      <w:pPr>
        <w:ind w:left="270"/>
        <w:rPr>
          <w:rFonts w:ascii="Calibri" w:eastAsia="Calibri" w:hAnsi="Calibri" w:cs="Calibri"/>
        </w:rPr>
      </w:pPr>
    </w:p>
    <w:p w14:paraId="35CD3783" w14:textId="635D3F92" w:rsidR="00016C74" w:rsidRDefault="00065516" w:rsidP="009C7ED6">
      <w:pPr>
        <w:pStyle w:val="Default"/>
        <w:spacing w:after="330"/>
        <w:ind w:left="270"/>
        <w:rPr>
          <w:rFonts w:eastAsia="Calibri"/>
          <w:color w:val="000000" w:themeColor="text1"/>
          <w:sz w:val="22"/>
          <w:szCs w:val="22"/>
        </w:rPr>
      </w:pPr>
      <w:r w:rsidRPr="00065516">
        <w:rPr>
          <w:rFonts w:eastAsia="Calibri"/>
          <w:color w:val="000000" w:themeColor="text1"/>
          <w:sz w:val="22"/>
          <w:szCs w:val="22"/>
        </w:rPr>
        <w:t>This interactive, on-demand, multimedia course will teach you evidence-based cognitive and behavioral strategies to effectively treat clients with depression. Learn to conceptualize clients, structure treatment, elicit and evaluate clients’ automatic thoughts, build and maintain a strong therapeutic relationship, and collaboratively develop Action Plans. Follow along as Beck Institute CBT Program Director, Dr. Allen Miller, demonstrates a broad range of valuable treatment strategies backed by decades of empirical research and experience. There are 9.75 hours available. Prior to registering, please click here to review complete CE/CME details, course objectives, speaker/planner conflict of interest disclosure and more</w:t>
      </w:r>
      <w:r w:rsidR="00BD563F">
        <w:rPr>
          <w:rFonts w:eastAsia="Calibri"/>
          <w:color w:val="000000" w:themeColor="text1"/>
          <w:sz w:val="22"/>
          <w:szCs w:val="22"/>
        </w:rPr>
        <w:t>.</w:t>
      </w:r>
    </w:p>
    <w:p w14:paraId="3AF4C2DC" w14:textId="1E6F7AF8" w:rsidR="00493301" w:rsidRPr="00493301" w:rsidRDefault="00493301" w:rsidP="009C7ED6">
      <w:pPr>
        <w:pStyle w:val="Default"/>
        <w:spacing w:after="330"/>
        <w:ind w:left="270"/>
        <w:rPr>
          <w:i/>
          <w:iCs/>
          <w:color w:val="auto"/>
          <w:sz w:val="20"/>
          <w:szCs w:val="20"/>
        </w:rPr>
      </w:pPr>
      <w:r w:rsidRPr="00493301">
        <w:rPr>
          <w:rFonts w:eastAsia="Calibri"/>
          <w:b/>
          <w:bCs/>
          <w:color w:val="auto"/>
        </w:rPr>
        <w:t xml:space="preserve">Objectives: </w:t>
      </w:r>
      <w:r w:rsidRPr="00493301">
        <w:rPr>
          <w:i/>
          <w:iCs/>
          <w:color w:val="auto"/>
          <w:sz w:val="20"/>
          <w:szCs w:val="20"/>
        </w:rPr>
        <w:t xml:space="preserve">At the end of the course, participants will better be able to: </w:t>
      </w:r>
    </w:p>
    <w:p w14:paraId="7860552D" w14:textId="77777777" w:rsidR="00065516" w:rsidRPr="00065516" w:rsidRDefault="00065516" w:rsidP="00065516">
      <w:pPr>
        <w:pStyle w:val="ListParagraph"/>
        <w:numPr>
          <w:ilvl w:val="0"/>
          <w:numId w:val="12"/>
        </w:numPr>
      </w:pPr>
      <w:r w:rsidRPr="00065516">
        <w:rPr>
          <w:rFonts w:ascii="Calibri" w:eastAsia="Calibri" w:hAnsi="Calibri" w:cs="Calibri"/>
        </w:rPr>
        <w:t>Describe how to conceptualize clients with depression using a cognitive conceptualization diagram.</w:t>
      </w:r>
    </w:p>
    <w:p w14:paraId="22B0A4DF" w14:textId="77777777" w:rsidR="00065516" w:rsidRPr="00065516" w:rsidRDefault="00065516" w:rsidP="00065516">
      <w:pPr>
        <w:pStyle w:val="ListParagraph"/>
        <w:numPr>
          <w:ilvl w:val="0"/>
          <w:numId w:val="12"/>
        </w:numPr>
      </w:pPr>
      <w:r w:rsidRPr="00065516">
        <w:rPr>
          <w:rFonts w:ascii="Calibri" w:eastAsia="Calibri" w:hAnsi="Calibri" w:cs="Calibri"/>
        </w:rPr>
        <w:t>Use your conceptualization to plan treatment within and across sessions.</w:t>
      </w:r>
    </w:p>
    <w:p w14:paraId="6DB1CCDC" w14:textId="77777777" w:rsidR="00065516" w:rsidRPr="00065516" w:rsidRDefault="00065516" w:rsidP="00065516">
      <w:pPr>
        <w:pStyle w:val="ListParagraph"/>
        <w:numPr>
          <w:ilvl w:val="0"/>
          <w:numId w:val="12"/>
        </w:numPr>
      </w:pPr>
      <w:r w:rsidRPr="00065516">
        <w:rPr>
          <w:rFonts w:ascii="Calibri" w:eastAsia="Calibri" w:hAnsi="Calibri" w:cs="Calibri"/>
        </w:rPr>
        <w:t>Develop and maintain a strong therapeutic relationship with clients with depression.</w:t>
      </w:r>
    </w:p>
    <w:p w14:paraId="590D098F" w14:textId="7410A00A" w:rsidR="00065516" w:rsidRPr="00065516" w:rsidRDefault="00173180" w:rsidP="00065516">
      <w:pPr>
        <w:pStyle w:val="ListParagraph"/>
        <w:numPr>
          <w:ilvl w:val="0"/>
          <w:numId w:val="12"/>
        </w:numPr>
      </w:pPr>
      <w:r>
        <w:rPr>
          <w:rFonts w:ascii="Calibri" w:eastAsia="Calibri" w:hAnsi="Calibri" w:cs="Calibri"/>
        </w:rPr>
        <w:t>Describe ways to s</w:t>
      </w:r>
      <w:r w:rsidR="00065516" w:rsidRPr="00065516">
        <w:rPr>
          <w:rFonts w:ascii="Calibri" w:eastAsia="Calibri" w:hAnsi="Calibri" w:cs="Calibri"/>
        </w:rPr>
        <w:t>tructure sessions to efficiently address clients’ problems, set goals and instill hope.</w:t>
      </w:r>
    </w:p>
    <w:p w14:paraId="643493AE" w14:textId="77777777" w:rsidR="00065516" w:rsidRPr="00065516" w:rsidRDefault="00065516" w:rsidP="00065516">
      <w:pPr>
        <w:pStyle w:val="ListParagraph"/>
        <w:numPr>
          <w:ilvl w:val="0"/>
          <w:numId w:val="12"/>
        </w:numPr>
      </w:pPr>
      <w:r w:rsidRPr="00065516">
        <w:rPr>
          <w:rFonts w:ascii="Calibri" w:eastAsia="Calibri" w:hAnsi="Calibri" w:cs="Calibri"/>
        </w:rPr>
        <w:t>Select and implement a variety of strategies from various psychotherapeutic modalities within the context of the cognitive model.</w:t>
      </w:r>
    </w:p>
    <w:p w14:paraId="50126728" w14:textId="77777777" w:rsidR="00065516" w:rsidRPr="00065516" w:rsidRDefault="00065516" w:rsidP="00065516">
      <w:pPr>
        <w:pStyle w:val="ListParagraph"/>
        <w:numPr>
          <w:ilvl w:val="0"/>
          <w:numId w:val="12"/>
        </w:numPr>
      </w:pPr>
      <w:r w:rsidRPr="00065516">
        <w:rPr>
          <w:rFonts w:ascii="Calibri" w:eastAsia="Calibri" w:hAnsi="Calibri" w:cs="Calibri"/>
        </w:rPr>
        <w:t>Describe ways to do relapse prevention.</w:t>
      </w:r>
    </w:p>
    <w:p w14:paraId="5F0454E5" w14:textId="77777777" w:rsidR="009C7ED6" w:rsidRPr="00493301" w:rsidRDefault="009C7ED6" w:rsidP="009C7ED6">
      <w:pPr>
        <w:ind w:left="270"/>
        <w:contextualSpacing/>
        <w:rPr>
          <w:rFonts w:cstheme="minorHAnsi"/>
          <w:sz w:val="20"/>
          <w:szCs w:val="20"/>
          <w:u w:val="single"/>
          <w:shd w:val="clear" w:color="auto" w:fill="FFFFFF"/>
        </w:rPr>
      </w:pPr>
    </w:p>
    <w:p w14:paraId="4439BBD8" w14:textId="77777777" w:rsidR="009C7ED6" w:rsidRPr="009C7ED6" w:rsidRDefault="009C7ED6" w:rsidP="009C7ED6">
      <w:pPr>
        <w:ind w:left="270"/>
        <w:contextualSpacing/>
        <w:rPr>
          <w:rFonts w:cstheme="minorHAnsi"/>
          <w:b/>
          <w:bCs/>
          <w:sz w:val="24"/>
          <w:szCs w:val="24"/>
          <w:shd w:val="clear" w:color="auto" w:fill="FFFFFF"/>
        </w:rPr>
      </w:pPr>
      <w:r w:rsidRPr="009C7ED6">
        <w:rPr>
          <w:rFonts w:cstheme="minorHAnsi"/>
          <w:b/>
          <w:bCs/>
          <w:sz w:val="24"/>
          <w:szCs w:val="24"/>
          <w:shd w:val="clear" w:color="auto" w:fill="FFFFFF"/>
        </w:rPr>
        <w:t xml:space="preserve">Target Audience: </w:t>
      </w:r>
    </w:p>
    <w:p w14:paraId="75E82176" w14:textId="77777777" w:rsidR="009C7ED6" w:rsidRPr="00493301" w:rsidRDefault="009C7ED6" w:rsidP="009C7ED6">
      <w:pPr>
        <w:ind w:left="270"/>
        <w:rPr>
          <w:rFonts w:ascii="Calibri" w:hAnsi="Calibri" w:cs="Calibri"/>
        </w:rPr>
      </w:pPr>
      <w:r w:rsidRPr="00493301">
        <w:rPr>
          <w:rFonts w:ascii="Calibri" w:hAnsi="Calibri" w:cs="Calibri"/>
        </w:rPr>
        <w:t xml:space="preserve">This course is appropriate for mental health professionals with a beginner to intermediate level of knowledge in a mental health or medical field, which is included, but not limited to psychologists, psychiatrists, social workers, mental health counselors, and nurses. </w:t>
      </w:r>
    </w:p>
    <w:p w14:paraId="3F0B906A" w14:textId="77777777" w:rsidR="009C7ED6" w:rsidRDefault="009C7ED6" w:rsidP="009C7ED6">
      <w:pPr>
        <w:ind w:left="270"/>
        <w:rPr>
          <w:b/>
          <w:bCs/>
          <w:sz w:val="24"/>
          <w:szCs w:val="24"/>
        </w:rPr>
      </w:pPr>
    </w:p>
    <w:p w14:paraId="62D5ED0C" w14:textId="07F64929" w:rsidR="00493301" w:rsidRDefault="00493301" w:rsidP="009C7ED6">
      <w:pPr>
        <w:ind w:left="270"/>
        <w:rPr>
          <w:b/>
          <w:bCs/>
          <w:sz w:val="24"/>
          <w:szCs w:val="24"/>
        </w:rPr>
      </w:pPr>
      <w:r w:rsidRPr="00016C74">
        <w:rPr>
          <w:b/>
          <w:bCs/>
          <w:sz w:val="24"/>
          <w:szCs w:val="24"/>
        </w:rPr>
        <w:t>Schedule:</w:t>
      </w:r>
    </w:p>
    <w:tbl>
      <w:tblPr>
        <w:tblStyle w:val="TableGrid"/>
        <w:tblW w:w="10008" w:type="dxa"/>
        <w:tblInd w:w="0" w:type="dxa"/>
        <w:tblLayout w:type="fixed"/>
        <w:tblLook w:val="04A0" w:firstRow="1" w:lastRow="0" w:firstColumn="1" w:lastColumn="0" w:noHBand="0" w:noVBand="1"/>
      </w:tblPr>
      <w:tblGrid>
        <w:gridCol w:w="1430"/>
        <w:gridCol w:w="8578"/>
      </w:tblGrid>
      <w:tr w:rsidR="00BD563F" w14:paraId="40B27976"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6DC1D919" w14:textId="77777777" w:rsidR="00BD563F" w:rsidRPr="00BD563F" w:rsidRDefault="00BD563F" w:rsidP="003A1653">
            <w:pPr>
              <w:rPr>
                <w:rFonts w:asciiTheme="minorHAnsi" w:hAnsiTheme="minorHAnsi" w:cstheme="minorHAnsi"/>
                <w:color w:val="auto"/>
                <w:sz w:val="20"/>
                <w:szCs w:val="20"/>
              </w:rPr>
            </w:pPr>
            <w:r w:rsidRPr="00BD563F">
              <w:rPr>
                <w:rFonts w:asciiTheme="minorHAnsi" w:eastAsia="Calibri" w:hAnsiTheme="minorHAnsi" w:cstheme="minorHAnsi"/>
                <w:b/>
                <w:bCs/>
                <w:color w:val="auto"/>
                <w:sz w:val="20"/>
                <w:szCs w:val="20"/>
              </w:rPr>
              <w:t>MODULE 1: The Basics of CBT for Depression</w:t>
            </w:r>
          </w:p>
        </w:tc>
      </w:tr>
      <w:tr w:rsidR="00BD563F" w14:paraId="133C6A54"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9EA7491"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 </w:t>
            </w:r>
          </w:p>
        </w:tc>
        <w:tc>
          <w:tcPr>
            <w:tcW w:w="8578" w:type="dxa"/>
            <w:tcBorders>
              <w:top w:val="nil"/>
              <w:left w:val="nil"/>
              <w:bottom w:val="single" w:sz="8" w:space="0" w:color="auto"/>
              <w:right w:val="single" w:sz="8" w:space="0" w:color="auto"/>
            </w:tcBorders>
          </w:tcPr>
          <w:p w14:paraId="5286AA3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Introduction to Module </w:t>
            </w:r>
          </w:p>
        </w:tc>
      </w:tr>
      <w:tr w:rsidR="00BD563F" w14:paraId="750D5EFB"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FC7DF6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01D21F7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Theory, Therapy, and Research on Depression</w:t>
            </w:r>
          </w:p>
        </w:tc>
      </w:tr>
      <w:tr w:rsidR="00BD563F" w14:paraId="1AAE8039"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D01CC15"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nil"/>
              <w:bottom w:val="single" w:sz="8" w:space="0" w:color="auto"/>
              <w:right w:val="single" w:sz="8" w:space="0" w:color="auto"/>
            </w:tcBorders>
          </w:tcPr>
          <w:p w14:paraId="68FF06A3"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Video of a Therapy Session</w:t>
            </w:r>
          </w:p>
        </w:tc>
      </w:tr>
      <w:tr w:rsidR="00BD563F" w14:paraId="34FD2316"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379B87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5FA76C93"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Strength-Based on Problem-Based Cognitive Formulation</w:t>
            </w:r>
          </w:p>
        </w:tc>
      </w:tr>
      <w:tr w:rsidR="00BD563F" w14:paraId="2151ADB4"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E37DB1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4</w:t>
            </w:r>
          </w:p>
        </w:tc>
        <w:tc>
          <w:tcPr>
            <w:tcW w:w="8578" w:type="dxa"/>
            <w:tcBorders>
              <w:top w:val="single" w:sz="8" w:space="0" w:color="auto"/>
              <w:left w:val="nil"/>
              <w:bottom w:val="single" w:sz="8" w:space="0" w:color="auto"/>
              <w:right w:val="single" w:sz="8" w:space="0" w:color="auto"/>
            </w:tcBorders>
          </w:tcPr>
          <w:p w14:paraId="6FDD8C0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Schemas</w:t>
            </w:r>
          </w:p>
        </w:tc>
      </w:tr>
      <w:tr w:rsidR="00BD563F" w14:paraId="0B688972"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5819F0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5</w:t>
            </w:r>
          </w:p>
        </w:tc>
        <w:tc>
          <w:tcPr>
            <w:tcW w:w="8578" w:type="dxa"/>
            <w:tcBorders>
              <w:top w:val="single" w:sz="8" w:space="0" w:color="auto"/>
              <w:left w:val="nil"/>
              <w:bottom w:val="single" w:sz="8" w:space="0" w:color="auto"/>
              <w:right w:val="single" w:sz="8" w:space="0" w:color="auto"/>
            </w:tcBorders>
          </w:tcPr>
          <w:p w14:paraId="68BF3BD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The Cognitive Triad and the Cognitive Model </w:t>
            </w:r>
          </w:p>
        </w:tc>
      </w:tr>
      <w:tr w:rsidR="00BD563F" w14:paraId="39C996EC"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446D8D11"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Number of Minutes - 148</w:t>
            </w:r>
          </w:p>
        </w:tc>
      </w:tr>
      <w:tr w:rsidR="00BD563F" w14:paraId="41CFAED3"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05AFBC19"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MODULE 2: Planning Treatment Using Cognitive Conceptualization Diagrams</w:t>
            </w:r>
          </w:p>
        </w:tc>
      </w:tr>
      <w:tr w:rsidR="00BD563F" w14:paraId="7B5EE1CF"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772A0C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lastRenderedPageBreak/>
              <w:t xml:space="preserve"> </w:t>
            </w:r>
          </w:p>
        </w:tc>
        <w:tc>
          <w:tcPr>
            <w:tcW w:w="8578" w:type="dxa"/>
            <w:tcBorders>
              <w:top w:val="nil"/>
              <w:left w:val="nil"/>
              <w:bottom w:val="single" w:sz="8" w:space="0" w:color="auto"/>
              <w:right w:val="single" w:sz="8" w:space="0" w:color="auto"/>
            </w:tcBorders>
          </w:tcPr>
          <w:p w14:paraId="638EE11C"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613913A5"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209BEF5"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4AEF811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Introduction to the Cognitive Conceptualization Diagram </w:t>
            </w:r>
          </w:p>
        </w:tc>
      </w:tr>
      <w:tr w:rsidR="00BD563F" w14:paraId="76DC6077"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5B3972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nil"/>
              <w:bottom w:val="single" w:sz="8" w:space="0" w:color="auto"/>
              <w:right w:val="single" w:sz="8" w:space="0" w:color="auto"/>
            </w:tcBorders>
          </w:tcPr>
          <w:p w14:paraId="35BB8B51"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 Strength-Based Cognitive Conceptualization Diagram</w:t>
            </w:r>
          </w:p>
        </w:tc>
      </w:tr>
      <w:tr w:rsidR="00BD563F" w14:paraId="3E076DA6"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7F6D9E5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2B60DCE8"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The Problem-Based Cognitive Conceptualization Diagram </w:t>
            </w:r>
          </w:p>
        </w:tc>
      </w:tr>
      <w:tr w:rsidR="00BD563F" w14:paraId="56811927"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E064A1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4</w:t>
            </w:r>
          </w:p>
        </w:tc>
        <w:tc>
          <w:tcPr>
            <w:tcW w:w="8578" w:type="dxa"/>
            <w:tcBorders>
              <w:top w:val="single" w:sz="8" w:space="0" w:color="auto"/>
              <w:left w:val="nil"/>
              <w:bottom w:val="single" w:sz="8" w:space="0" w:color="auto"/>
              <w:right w:val="single" w:sz="8" w:space="0" w:color="auto"/>
            </w:tcBorders>
          </w:tcPr>
          <w:p w14:paraId="1254B3C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Using the CCD to Plan Treatment </w:t>
            </w:r>
          </w:p>
        </w:tc>
      </w:tr>
      <w:tr w:rsidR="00BD563F" w14:paraId="1C0C4742"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31AEDACA"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Number of Minutes – 31</w:t>
            </w:r>
          </w:p>
        </w:tc>
      </w:tr>
      <w:tr w:rsidR="00BD563F" w14:paraId="5F69642B"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1E167A95"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MODULE 3: Building Blocks of Treatment</w:t>
            </w:r>
          </w:p>
        </w:tc>
      </w:tr>
      <w:tr w:rsidR="00BD563F" w14:paraId="71064037"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934AEBE"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 </w:t>
            </w:r>
          </w:p>
        </w:tc>
        <w:tc>
          <w:tcPr>
            <w:tcW w:w="8578" w:type="dxa"/>
            <w:tcBorders>
              <w:top w:val="nil"/>
              <w:left w:val="nil"/>
              <w:bottom w:val="single" w:sz="8" w:space="0" w:color="auto"/>
              <w:right w:val="single" w:sz="8" w:space="0" w:color="auto"/>
            </w:tcBorders>
          </w:tcPr>
          <w:p w14:paraId="2520A92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71DF8E28"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7DA724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325E974F"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Structure of Therapy Sessions</w:t>
            </w:r>
          </w:p>
        </w:tc>
      </w:tr>
      <w:tr w:rsidR="00BD563F" w14:paraId="22BE9C44"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285D9A48"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nil"/>
              <w:bottom w:val="single" w:sz="8" w:space="0" w:color="auto"/>
              <w:right w:val="single" w:sz="8" w:space="0" w:color="auto"/>
            </w:tcBorders>
          </w:tcPr>
          <w:p w14:paraId="29F4787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Re-Establishing Rapport and Doing a Mood and Medication Check </w:t>
            </w:r>
          </w:p>
        </w:tc>
      </w:tr>
      <w:tr w:rsidR="00BD563F" w14:paraId="3D30E57F"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57D9C2C"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3EDCF1B1"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Bridges, Agendas, and Review of Action Plans</w:t>
            </w:r>
          </w:p>
        </w:tc>
      </w:tr>
      <w:tr w:rsidR="00BD563F" w14:paraId="15AA08A0"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7E11CF2"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4</w:t>
            </w:r>
          </w:p>
        </w:tc>
        <w:tc>
          <w:tcPr>
            <w:tcW w:w="8578" w:type="dxa"/>
            <w:tcBorders>
              <w:top w:val="single" w:sz="8" w:space="0" w:color="auto"/>
              <w:left w:val="nil"/>
              <w:bottom w:val="single" w:sz="8" w:space="0" w:color="auto"/>
              <w:right w:val="single" w:sz="8" w:space="0" w:color="auto"/>
            </w:tcBorders>
          </w:tcPr>
          <w:p w14:paraId="3220214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Middle and End of Sessions</w:t>
            </w:r>
          </w:p>
        </w:tc>
      </w:tr>
      <w:tr w:rsidR="00BD563F" w14:paraId="3FB6E102"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719957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5</w:t>
            </w:r>
          </w:p>
        </w:tc>
        <w:tc>
          <w:tcPr>
            <w:tcW w:w="8578" w:type="dxa"/>
            <w:tcBorders>
              <w:top w:val="single" w:sz="8" w:space="0" w:color="auto"/>
              <w:left w:val="nil"/>
              <w:bottom w:val="single" w:sz="8" w:space="0" w:color="auto"/>
              <w:right w:val="single" w:sz="8" w:space="0" w:color="auto"/>
            </w:tcBorders>
          </w:tcPr>
          <w:p w14:paraId="6B8746E0"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 Therapeutic Relationship</w:t>
            </w:r>
          </w:p>
        </w:tc>
      </w:tr>
      <w:tr w:rsidR="00BD563F" w14:paraId="500E70A7"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5E2D74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6</w:t>
            </w:r>
          </w:p>
        </w:tc>
        <w:tc>
          <w:tcPr>
            <w:tcW w:w="8578" w:type="dxa"/>
            <w:tcBorders>
              <w:top w:val="single" w:sz="8" w:space="0" w:color="auto"/>
              <w:left w:val="nil"/>
              <w:bottom w:val="single" w:sz="8" w:space="0" w:color="auto"/>
              <w:right w:val="single" w:sz="8" w:space="0" w:color="auto"/>
            </w:tcBorders>
          </w:tcPr>
          <w:p w14:paraId="4A69988F"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Setting Action Plans</w:t>
            </w:r>
          </w:p>
        </w:tc>
      </w:tr>
      <w:tr w:rsidR="00BD563F" w14:paraId="2BB57690"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5504942D"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Number of Minutes – 63</w:t>
            </w:r>
          </w:p>
        </w:tc>
      </w:tr>
      <w:tr w:rsidR="00BD563F" w14:paraId="64EAF813"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6B924196"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MODULE 4: Beginning of Treatment</w:t>
            </w:r>
          </w:p>
        </w:tc>
      </w:tr>
      <w:tr w:rsidR="00BD563F" w14:paraId="5777F666"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253BCFF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 </w:t>
            </w:r>
          </w:p>
        </w:tc>
        <w:tc>
          <w:tcPr>
            <w:tcW w:w="8578" w:type="dxa"/>
            <w:tcBorders>
              <w:top w:val="nil"/>
              <w:left w:val="nil"/>
              <w:bottom w:val="single" w:sz="8" w:space="0" w:color="auto"/>
              <w:right w:val="single" w:sz="8" w:space="0" w:color="auto"/>
            </w:tcBorders>
          </w:tcPr>
          <w:p w14:paraId="02A6E3A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1926F2A7"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0348F82"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6B7240A5"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 Evaluation Session and Guidelines for Evaluations</w:t>
            </w:r>
          </w:p>
        </w:tc>
      </w:tr>
      <w:tr w:rsidR="00BD563F" w14:paraId="54531BF0"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637BC20"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nil"/>
              <w:bottom w:val="single" w:sz="8" w:space="0" w:color="auto"/>
              <w:right w:val="single" w:sz="8" w:space="0" w:color="auto"/>
            </w:tcBorders>
          </w:tcPr>
          <w:p w14:paraId="2338C7B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 First Session: Objectives</w:t>
            </w:r>
          </w:p>
        </w:tc>
      </w:tr>
      <w:tr w:rsidR="00BD563F" w14:paraId="7163B951"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363993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6EF969F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 First Session: Psychoeducation</w:t>
            </w:r>
          </w:p>
        </w:tc>
      </w:tr>
      <w:tr w:rsidR="00BD563F" w14:paraId="26142AA7"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9C95170"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4</w:t>
            </w:r>
          </w:p>
        </w:tc>
        <w:tc>
          <w:tcPr>
            <w:tcW w:w="8578" w:type="dxa"/>
            <w:tcBorders>
              <w:top w:val="single" w:sz="8" w:space="0" w:color="auto"/>
              <w:left w:val="nil"/>
              <w:bottom w:val="single" w:sz="8" w:space="0" w:color="auto"/>
              <w:right w:val="single" w:sz="8" w:space="0" w:color="auto"/>
            </w:tcBorders>
          </w:tcPr>
          <w:p w14:paraId="5B45F6A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The First Session: Typical Day, Core Values, and Aspirations</w:t>
            </w:r>
          </w:p>
        </w:tc>
      </w:tr>
      <w:tr w:rsidR="00BD563F" w14:paraId="188EFE69"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EB5152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5</w:t>
            </w:r>
          </w:p>
        </w:tc>
        <w:tc>
          <w:tcPr>
            <w:tcW w:w="8578" w:type="dxa"/>
            <w:tcBorders>
              <w:top w:val="single" w:sz="8" w:space="0" w:color="auto"/>
              <w:left w:val="nil"/>
              <w:bottom w:val="single" w:sz="8" w:space="0" w:color="auto"/>
              <w:right w:val="single" w:sz="8" w:space="0" w:color="auto"/>
            </w:tcBorders>
          </w:tcPr>
          <w:p w14:paraId="33F9FDE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The First Session: Setting Goals </w:t>
            </w:r>
          </w:p>
        </w:tc>
      </w:tr>
      <w:tr w:rsidR="00BD563F" w14:paraId="7FA5DA02"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40C2B40C"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6</w:t>
            </w:r>
          </w:p>
        </w:tc>
        <w:tc>
          <w:tcPr>
            <w:tcW w:w="8578" w:type="dxa"/>
            <w:tcBorders>
              <w:top w:val="single" w:sz="8" w:space="0" w:color="auto"/>
              <w:left w:val="nil"/>
              <w:bottom w:val="single" w:sz="8" w:space="0" w:color="auto"/>
              <w:right w:val="single" w:sz="8" w:space="0" w:color="auto"/>
            </w:tcBorders>
          </w:tcPr>
          <w:p w14:paraId="0882092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First Session: The End of the Session </w:t>
            </w:r>
          </w:p>
        </w:tc>
      </w:tr>
      <w:tr w:rsidR="00BD563F" w14:paraId="368BE3D5"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18A96B73"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Number of Minutes – 60</w:t>
            </w:r>
          </w:p>
        </w:tc>
      </w:tr>
      <w:tr w:rsidR="00BD563F" w14:paraId="17959B6C"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2FB0400A"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MODULE 5: Automatic Thoughts</w:t>
            </w:r>
          </w:p>
        </w:tc>
      </w:tr>
      <w:tr w:rsidR="00BD563F" w14:paraId="2C7AE83D"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178454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 </w:t>
            </w:r>
          </w:p>
        </w:tc>
        <w:tc>
          <w:tcPr>
            <w:tcW w:w="8578" w:type="dxa"/>
            <w:tcBorders>
              <w:top w:val="nil"/>
              <w:left w:val="nil"/>
              <w:bottom w:val="single" w:sz="8" w:space="0" w:color="auto"/>
              <w:right w:val="single" w:sz="8" w:space="0" w:color="auto"/>
            </w:tcBorders>
          </w:tcPr>
          <w:p w14:paraId="5E06230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2E19D915"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22C2915"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7330B19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Basics of Automatic Thoughts </w:t>
            </w:r>
          </w:p>
        </w:tc>
      </w:tr>
      <w:tr w:rsidR="00BD563F" w14:paraId="0C00DD8E"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0A9C25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nil"/>
              <w:bottom w:val="single" w:sz="8" w:space="0" w:color="auto"/>
              <w:right w:val="single" w:sz="8" w:space="0" w:color="auto"/>
            </w:tcBorders>
          </w:tcPr>
          <w:p w14:paraId="7B91308F"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Types of Automatic Thoughts</w:t>
            </w:r>
          </w:p>
        </w:tc>
      </w:tr>
      <w:tr w:rsidR="00BD563F" w14:paraId="01C8F2A2"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84050F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766E553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Eliciting Automatic Thoughts</w:t>
            </w:r>
          </w:p>
        </w:tc>
      </w:tr>
      <w:tr w:rsidR="00BD563F" w14:paraId="68B22C9E"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510F2DE"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4</w:t>
            </w:r>
          </w:p>
        </w:tc>
        <w:tc>
          <w:tcPr>
            <w:tcW w:w="8578" w:type="dxa"/>
            <w:tcBorders>
              <w:top w:val="single" w:sz="8" w:space="0" w:color="auto"/>
              <w:left w:val="nil"/>
              <w:bottom w:val="single" w:sz="8" w:space="0" w:color="auto"/>
              <w:right w:val="single" w:sz="8" w:space="0" w:color="auto"/>
            </w:tcBorders>
          </w:tcPr>
          <w:p w14:paraId="4641E31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Socratic Questioning to Evaluate Automatic Thoughts</w:t>
            </w:r>
          </w:p>
        </w:tc>
      </w:tr>
      <w:tr w:rsidR="00BD563F" w14:paraId="1CC7E8DF"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66690E1"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5</w:t>
            </w:r>
          </w:p>
        </w:tc>
        <w:tc>
          <w:tcPr>
            <w:tcW w:w="8578" w:type="dxa"/>
            <w:tcBorders>
              <w:top w:val="single" w:sz="8" w:space="0" w:color="auto"/>
              <w:left w:val="nil"/>
              <w:bottom w:val="single" w:sz="8" w:space="0" w:color="auto"/>
              <w:right w:val="single" w:sz="8" w:space="0" w:color="auto"/>
            </w:tcBorders>
          </w:tcPr>
          <w:p w14:paraId="77D0B54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Additional Techniques to Address Automatic Thoughts</w:t>
            </w:r>
          </w:p>
        </w:tc>
      </w:tr>
      <w:tr w:rsidR="00BD563F" w14:paraId="1D4EFB87"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3C3D78C5"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lastRenderedPageBreak/>
              <w:t xml:space="preserve">Number of Minutes – 59 </w:t>
            </w:r>
          </w:p>
        </w:tc>
      </w:tr>
      <w:tr w:rsidR="00BD563F" w14:paraId="75355583"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Pr>
          <w:p w14:paraId="7A143B56"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MODULE 6: Core Beliefs, Coping Strategies, and Intermediate Beliefs </w:t>
            </w:r>
          </w:p>
        </w:tc>
      </w:tr>
      <w:tr w:rsidR="00BD563F" w14:paraId="1BD2A003"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A1E8BC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 </w:t>
            </w:r>
          </w:p>
        </w:tc>
        <w:tc>
          <w:tcPr>
            <w:tcW w:w="8578" w:type="dxa"/>
            <w:tcBorders>
              <w:top w:val="nil"/>
              <w:left w:val="nil"/>
              <w:bottom w:val="single" w:sz="8" w:space="0" w:color="auto"/>
              <w:right w:val="single" w:sz="8" w:space="0" w:color="auto"/>
            </w:tcBorders>
          </w:tcPr>
          <w:p w14:paraId="20E567F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5B325314"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7A5163C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1F6E07E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Identifying and Providing Psychoeducation about Core Beliefs</w:t>
            </w:r>
          </w:p>
        </w:tc>
      </w:tr>
      <w:tr w:rsidR="00BD563F" w14:paraId="5DC4B2C1"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4AA1383"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nil"/>
              <w:bottom w:val="single" w:sz="8" w:space="0" w:color="auto"/>
              <w:right w:val="single" w:sz="8" w:space="0" w:color="auto"/>
            </w:tcBorders>
          </w:tcPr>
          <w:p w14:paraId="7BBB5BF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Modifying Maladaptive Core Beliefs</w:t>
            </w:r>
          </w:p>
        </w:tc>
      </w:tr>
      <w:tr w:rsidR="00BD563F" w14:paraId="23A192C5"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E0A78A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52C3264F"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Coping Strategies and Intermediate Beliefs</w:t>
            </w:r>
          </w:p>
        </w:tc>
      </w:tr>
      <w:tr w:rsidR="00BD563F" w14:paraId="734677B4"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088862E4"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Number of Minutes – 46 </w:t>
            </w:r>
          </w:p>
        </w:tc>
      </w:tr>
      <w:tr w:rsidR="00BD563F" w14:paraId="34F94924"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16B1B0A"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MODULE 7: Techniques from CBT and Other Therapies </w:t>
            </w:r>
          </w:p>
        </w:tc>
      </w:tr>
      <w:tr w:rsidR="00BD563F" w14:paraId="1AA39043"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A77C351"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 </w:t>
            </w:r>
          </w:p>
        </w:tc>
        <w:tc>
          <w:tcPr>
            <w:tcW w:w="8578" w:type="dxa"/>
            <w:tcBorders>
              <w:top w:val="nil"/>
              <w:left w:val="nil"/>
              <w:bottom w:val="single" w:sz="8" w:space="0" w:color="auto"/>
              <w:right w:val="single" w:sz="8" w:space="0" w:color="auto"/>
            </w:tcBorders>
          </w:tcPr>
          <w:p w14:paraId="3F8CE11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23A4D250"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FE22592"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nil"/>
              <w:bottom w:val="single" w:sz="8" w:space="0" w:color="auto"/>
              <w:right w:val="single" w:sz="8" w:space="0" w:color="auto"/>
            </w:tcBorders>
          </w:tcPr>
          <w:p w14:paraId="71C8139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Problem Solving, Credit Lists, and Decision Making </w:t>
            </w:r>
          </w:p>
        </w:tc>
      </w:tr>
      <w:tr w:rsidR="00BD563F" w14:paraId="0C03E89F"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525191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Lesson 2 </w:t>
            </w:r>
          </w:p>
        </w:tc>
        <w:tc>
          <w:tcPr>
            <w:tcW w:w="8578" w:type="dxa"/>
            <w:tcBorders>
              <w:top w:val="single" w:sz="8" w:space="0" w:color="auto"/>
              <w:left w:val="nil"/>
              <w:bottom w:val="single" w:sz="8" w:space="0" w:color="auto"/>
              <w:right w:val="single" w:sz="8" w:space="0" w:color="auto"/>
            </w:tcBorders>
          </w:tcPr>
          <w:p w14:paraId="7B411D0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Creating Therapy Notes</w:t>
            </w:r>
          </w:p>
        </w:tc>
      </w:tr>
      <w:tr w:rsidR="00BD563F" w14:paraId="6DA24A7A"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CFFC31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nil"/>
              <w:bottom w:val="single" w:sz="8" w:space="0" w:color="auto"/>
              <w:right w:val="single" w:sz="8" w:space="0" w:color="auto"/>
            </w:tcBorders>
          </w:tcPr>
          <w:p w14:paraId="4AEC7DC8"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Scheduling Activities</w:t>
            </w:r>
          </w:p>
        </w:tc>
      </w:tr>
      <w:tr w:rsidR="00BD563F" w14:paraId="4A250560"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6102EF2"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Lesson 4 </w:t>
            </w:r>
          </w:p>
        </w:tc>
        <w:tc>
          <w:tcPr>
            <w:tcW w:w="8578" w:type="dxa"/>
            <w:tcBorders>
              <w:top w:val="single" w:sz="8" w:space="0" w:color="auto"/>
              <w:left w:val="nil"/>
              <w:bottom w:val="single" w:sz="8" w:space="0" w:color="auto"/>
              <w:right w:val="single" w:sz="8" w:space="0" w:color="auto"/>
            </w:tcBorders>
          </w:tcPr>
          <w:p w14:paraId="35E5C0DF"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Clinical Roundtable and Scheduling Activities </w:t>
            </w:r>
          </w:p>
        </w:tc>
      </w:tr>
      <w:tr w:rsidR="00BD563F" w14:paraId="0374D548"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094C0FF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5</w:t>
            </w:r>
          </w:p>
        </w:tc>
        <w:tc>
          <w:tcPr>
            <w:tcW w:w="8578" w:type="dxa"/>
            <w:tcBorders>
              <w:top w:val="single" w:sz="8" w:space="0" w:color="auto"/>
              <w:left w:val="nil"/>
              <w:bottom w:val="single" w:sz="8" w:space="0" w:color="auto"/>
              <w:right w:val="single" w:sz="8" w:space="0" w:color="auto"/>
            </w:tcBorders>
          </w:tcPr>
          <w:p w14:paraId="460D3346"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Role Plays</w:t>
            </w:r>
          </w:p>
        </w:tc>
      </w:tr>
      <w:tr w:rsidR="00BD563F" w14:paraId="1834E29E"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426DE42"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6</w:t>
            </w:r>
          </w:p>
        </w:tc>
        <w:tc>
          <w:tcPr>
            <w:tcW w:w="8578" w:type="dxa"/>
            <w:tcBorders>
              <w:top w:val="single" w:sz="8" w:space="0" w:color="auto"/>
              <w:left w:val="nil"/>
              <w:bottom w:val="single" w:sz="8" w:space="0" w:color="auto"/>
              <w:right w:val="single" w:sz="8" w:space="0" w:color="auto"/>
            </w:tcBorders>
          </w:tcPr>
          <w:p w14:paraId="52295F2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Graded Task Assignments, Skills Training, and Bibliotherapy</w:t>
            </w:r>
          </w:p>
        </w:tc>
      </w:tr>
      <w:tr w:rsidR="00BD563F" w14:paraId="3AF3BA73"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FE693C0"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7</w:t>
            </w:r>
          </w:p>
        </w:tc>
        <w:tc>
          <w:tcPr>
            <w:tcW w:w="8578" w:type="dxa"/>
            <w:tcBorders>
              <w:top w:val="single" w:sz="8" w:space="0" w:color="auto"/>
              <w:left w:val="nil"/>
              <w:bottom w:val="single" w:sz="8" w:space="0" w:color="auto"/>
              <w:right w:val="single" w:sz="8" w:space="0" w:color="auto"/>
            </w:tcBorders>
          </w:tcPr>
          <w:p w14:paraId="0BBF0A1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Mindfulness Techniques </w:t>
            </w:r>
          </w:p>
        </w:tc>
      </w:tr>
      <w:tr w:rsidR="00BD563F" w14:paraId="10D6FB52"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3344A54B"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8</w:t>
            </w:r>
          </w:p>
        </w:tc>
        <w:tc>
          <w:tcPr>
            <w:tcW w:w="8578" w:type="dxa"/>
            <w:tcBorders>
              <w:top w:val="single" w:sz="8" w:space="0" w:color="auto"/>
              <w:left w:val="nil"/>
              <w:bottom w:val="single" w:sz="8" w:space="0" w:color="auto"/>
              <w:right w:val="single" w:sz="8" w:space="0" w:color="auto"/>
            </w:tcBorders>
          </w:tcPr>
          <w:p w14:paraId="6B860E14"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Techniques from other Modalities </w:t>
            </w:r>
          </w:p>
        </w:tc>
      </w:tr>
      <w:tr w:rsidR="00BD563F" w14:paraId="601D63FE"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22743B8D"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Number of Minutes – 108 </w:t>
            </w:r>
          </w:p>
        </w:tc>
      </w:tr>
      <w:tr w:rsidR="00BD563F" w14:paraId="11E3224C"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291E3F5"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MODULE 8: Termination and Relapse Prevention </w:t>
            </w:r>
          </w:p>
        </w:tc>
      </w:tr>
      <w:tr w:rsidR="00BD563F" w14:paraId="30FFBA66"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1A76D7D" w14:textId="77777777" w:rsidR="00BD563F" w:rsidRPr="00BD563F" w:rsidRDefault="00BD563F" w:rsidP="003A1653">
            <w:pPr>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 </w:t>
            </w:r>
          </w:p>
        </w:tc>
        <w:tc>
          <w:tcPr>
            <w:tcW w:w="8578" w:type="dxa"/>
            <w:tcBorders>
              <w:top w:val="nil"/>
              <w:left w:val="single" w:sz="8" w:space="0" w:color="auto"/>
              <w:bottom w:val="single" w:sz="8" w:space="0" w:color="auto"/>
              <w:right w:val="single" w:sz="8" w:space="0" w:color="auto"/>
            </w:tcBorders>
          </w:tcPr>
          <w:p w14:paraId="1F2030E0"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Introduction to Module</w:t>
            </w:r>
          </w:p>
        </w:tc>
      </w:tr>
      <w:tr w:rsidR="00BD563F" w14:paraId="4C3342DD"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D9E974C" w14:textId="77777777" w:rsidR="00BD563F" w:rsidRPr="00BD563F" w:rsidRDefault="00BD563F" w:rsidP="003A1653">
            <w:pPr>
              <w:jc w:val="both"/>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1</w:t>
            </w:r>
          </w:p>
        </w:tc>
        <w:tc>
          <w:tcPr>
            <w:tcW w:w="8578" w:type="dxa"/>
            <w:tcBorders>
              <w:top w:val="single" w:sz="8" w:space="0" w:color="auto"/>
              <w:left w:val="single" w:sz="8" w:space="0" w:color="auto"/>
              <w:bottom w:val="single" w:sz="8" w:space="0" w:color="auto"/>
              <w:right w:val="single" w:sz="8" w:space="0" w:color="auto"/>
            </w:tcBorders>
          </w:tcPr>
          <w:p w14:paraId="281F19F3"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Preparing to Terminate </w:t>
            </w:r>
          </w:p>
        </w:tc>
      </w:tr>
      <w:tr w:rsidR="00BD563F" w14:paraId="78FE5CF6"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6598EBFA"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2</w:t>
            </w:r>
          </w:p>
        </w:tc>
        <w:tc>
          <w:tcPr>
            <w:tcW w:w="8578" w:type="dxa"/>
            <w:tcBorders>
              <w:top w:val="single" w:sz="8" w:space="0" w:color="auto"/>
              <w:left w:val="single" w:sz="8" w:space="0" w:color="auto"/>
              <w:bottom w:val="single" w:sz="8" w:space="0" w:color="auto"/>
              <w:right w:val="single" w:sz="8" w:space="0" w:color="auto"/>
            </w:tcBorders>
          </w:tcPr>
          <w:p w14:paraId="36A1D1E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 xml:space="preserve">Tapering Session </w:t>
            </w:r>
          </w:p>
        </w:tc>
      </w:tr>
      <w:tr w:rsidR="00BD563F" w14:paraId="3EC7EE0B"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51414599"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3</w:t>
            </w:r>
          </w:p>
        </w:tc>
        <w:tc>
          <w:tcPr>
            <w:tcW w:w="8578" w:type="dxa"/>
            <w:tcBorders>
              <w:top w:val="single" w:sz="8" w:space="0" w:color="auto"/>
              <w:left w:val="single" w:sz="8" w:space="0" w:color="auto"/>
              <w:bottom w:val="single" w:sz="8" w:space="0" w:color="auto"/>
              <w:right w:val="single" w:sz="8" w:space="0" w:color="auto"/>
            </w:tcBorders>
          </w:tcPr>
          <w:p w14:paraId="5017DEB7"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Activities Near Termination</w:t>
            </w:r>
          </w:p>
        </w:tc>
      </w:tr>
      <w:tr w:rsidR="00BD563F" w14:paraId="2C261DDE" w14:textId="77777777" w:rsidTr="003A1653">
        <w:trPr>
          <w:trHeight w:val="420"/>
        </w:trPr>
        <w:tc>
          <w:tcPr>
            <w:tcW w:w="1430" w:type="dxa"/>
            <w:tcBorders>
              <w:top w:val="single" w:sz="8" w:space="0" w:color="auto"/>
              <w:left w:val="single" w:sz="8" w:space="0" w:color="auto"/>
              <w:bottom w:val="single" w:sz="8" w:space="0" w:color="auto"/>
              <w:right w:val="single" w:sz="8" w:space="0" w:color="auto"/>
            </w:tcBorders>
          </w:tcPr>
          <w:p w14:paraId="1703F47D"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Lesson 4</w:t>
            </w:r>
          </w:p>
        </w:tc>
        <w:tc>
          <w:tcPr>
            <w:tcW w:w="8578" w:type="dxa"/>
            <w:tcBorders>
              <w:top w:val="single" w:sz="8" w:space="0" w:color="auto"/>
              <w:left w:val="single" w:sz="8" w:space="0" w:color="auto"/>
              <w:bottom w:val="single" w:sz="8" w:space="0" w:color="auto"/>
              <w:right w:val="single" w:sz="8" w:space="0" w:color="auto"/>
            </w:tcBorders>
          </w:tcPr>
          <w:p w14:paraId="0DC726BF" w14:textId="77777777" w:rsidR="00BD563F" w:rsidRPr="00BD563F" w:rsidRDefault="00BD563F" w:rsidP="003A1653">
            <w:pPr>
              <w:rPr>
                <w:rFonts w:asciiTheme="minorHAnsi" w:eastAsia="Calibri" w:hAnsiTheme="minorHAnsi" w:cstheme="minorHAnsi"/>
                <w:color w:val="auto"/>
                <w:sz w:val="20"/>
                <w:szCs w:val="20"/>
              </w:rPr>
            </w:pPr>
            <w:r w:rsidRPr="00BD563F">
              <w:rPr>
                <w:rFonts w:asciiTheme="minorHAnsi" w:eastAsia="Calibri" w:hAnsiTheme="minorHAnsi" w:cstheme="minorHAnsi"/>
                <w:color w:val="auto"/>
                <w:sz w:val="20"/>
                <w:szCs w:val="20"/>
              </w:rPr>
              <w:t>Difficulties with Termination and Booster Sessions</w:t>
            </w:r>
          </w:p>
        </w:tc>
      </w:tr>
      <w:tr w:rsidR="00BD563F" w14:paraId="40E9F7C4"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4D549521"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Number of Minutes – 74</w:t>
            </w:r>
          </w:p>
        </w:tc>
      </w:tr>
      <w:tr w:rsidR="00BD563F" w14:paraId="3BAC675D" w14:textId="77777777" w:rsidTr="003A1653">
        <w:trPr>
          <w:trHeight w:val="420"/>
        </w:trPr>
        <w:tc>
          <w:tcPr>
            <w:tcW w:w="10008" w:type="dxa"/>
            <w:gridSpan w:val="2"/>
            <w:tcBorders>
              <w:top w:val="single" w:sz="8" w:space="0" w:color="auto"/>
              <w:left w:val="single" w:sz="8" w:space="0" w:color="auto"/>
              <w:bottom w:val="single" w:sz="8" w:space="0" w:color="auto"/>
              <w:right w:val="single" w:sz="8" w:space="0" w:color="auto"/>
            </w:tcBorders>
          </w:tcPr>
          <w:p w14:paraId="6AD2FFCE" w14:textId="77777777" w:rsidR="00BD563F" w:rsidRPr="00BD563F" w:rsidRDefault="00BD563F" w:rsidP="003A1653">
            <w:pPr>
              <w:jc w:val="right"/>
              <w:rPr>
                <w:rFonts w:asciiTheme="minorHAnsi" w:eastAsia="Calibri" w:hAnsiTheme="minorHAnsi" w:cstheme="minorHAnsi"/>
                <w:b/>
                <w:bCs/>
                <w:color w:val="auto"/>
                <w:sz w:val="20"/>
                <w:szCs w:val="20"/>
              </w:rPr>
            </w:pPr>
            <w:r w:rsidRPr="00BD563F">
              <w:rPr>
                <w:rFonts w:asciiTheme="minorHAnsi" w:eastAsia="Calibri" w:hAnsiTheme="minorHAnsi" w:cstheme="minorHAnsi"/>
                <w:b/>
                <w:bCs/>
                <w:color w:val="auto"/>
                <w:sz w:val="20"/>
                <w:szCs w:val="20"/>
              </w:rPr>
              <w:t xml:space="preserve">Total Number of Minutes – 589   </w:t>
            </w:r>
          </w:p>
        </w:tc>
      </w:tr>
    </w:tbl>
    <w:p w14:paraId="0E6152A9" w14:textId="77777777" w:rsidR="00BD563F" w:rsidRPr="00016C74" w:rsidRDefault="00BD563F" w:rsidP="009C7ED6">
      <w:pPr>
        <w:ind w:left="270"/>
        <w:rPr>
          <w:b/>
          <w:bCs/>
          <w:sz w:val="24"/>
          <w:szCs w:val="24"/>
        </w:rPr>
      </w:pPr>
    </w:p>
    <w:p w14:paraId="62F0EB23" w14:textId="77777777" w:rsidR="00493301" w:rsidRPr="00493301" w:rsidRDefault="00493301" w:rsidP="009C7ED6">
      <w:pPr>
        <w:ind w:left="270"/>
        <w:rPr>
          <w:b/>
          <w:i/>
          <w:sz w:val="20"/>
          <w:szCs w:val="20"/>
        </w:rPr>
      </w:pPr>
    </w:p>
    <w:p w14:paraId="1C0ADC3E" w14:textId="7EE48715" w:rsidR="005022AA" w:rsidRDefault="005022AA" w:rsidP="009C7ED6">
      <w:pPr>
        <w:ind w:left="270"/>
        <w:contextualSpacing/>
        <w:rPr>
          <w:rFonts w:ascii="Calibri" w:hAnsi="Calibri" w:cs="Calibri"/>
          <w:bCs/>
          <w:iCs/>
          <w:sz w:val="20"/>
          <w:szCs w:val="20"/>
          <w:u w:val="single"/>
        </w:rPr>
      </w:pPr>
    </w:p>
    <w:p w14:paraId="201F30E9" w14:textId="77777777" w:rsidR="00BD563F" w:rsidRPr="00493301" w:rsidRDefault="00BD563F" w:rsidP="009C7ED6">
      <w:pPr>
        <w:ind w:left="270"/>
        <w:contextualSpacing/>
        <w:rPr>
          <w:rFonts w:ascii="Calibri" w:hAnsi="Calibri" w:cs="Calibri"/>
          <w:bCs/>
          <w:iCs/>
          <w:sz w:val="20"/>
          <w:szCs w:val="20"/>
          <w:u w:val="single"/>
        </w:rPr>
      </w:pPr>
    </w:p>
    <w:p w14:paraId="59D77363" w14:textId="77777777" w:rsidR="00C20F47" w:rsidRDefault="00C20F47" w:rsidP="009C7ED6">
      <w:pPr>
        <w:spacing w:after="0" w:line="240" w:lineRule="auto"/>
        <w:ind w:left="270"/>
        <w:rPr>
          <w:rFonts w:eastAsia="Times New Roman" w:cstheme="minorHAnsi"/>
          <w:b/>
          <w:bCs/>
          <w:sz w:val="24"/>
          <w:szCs w:val="24"/>
        </w:rPr>
      </w:pPr>
    </w:p>
    <w:p w14:paraId="7B6C1EA7" w14:textId="77777777" w:rsidR="00C20F47" w:rsidRDefault="00C20F47" w:rsidP="009C7ED6">
      <w:pPr>
        <w:spacing w:after="0" w:line="240" w:lineRule="auto"/>
        <w:ind w:left="270"/>
        <w:rPr>
          <w:rFonts w:eastAsia="Times New Roman" w:cstheme="minorHAnsi"/>
          <w:b/>
          <w:bCs/>
          <w:sz w:val="24"/>
          <w:szCs w:val="24"/>
        </w:rPr>
      </w:pPr>
    </w:p>
    <w:p w14:paraId="3A5068B9" w14:textId="77777777" w:rsidR="00C20F47" w:rsidRDefault="00C20F47" w:rsidP="009C7ED6">
      <w:pPr>
        <w:spacing w:after="0" w:line="240" w:lineRule="auto"/>
        <w:ind w:left="270"/>
        <w:rPr>
          <w:rFonts w:eastAsia="Times New Roman" w:cstheme="minorHAnsi"/>
          <w:b/>
          <w:bCs/>
          <w:sz w:val="24"/>
          <w:szCs w:val="24"/>
        </w:rPr>
      </w:pPr>
    </w:p>
    <w:p w14:paraId="59F05FD6" w14:textId="7DE0F628" w:rsidR="00D03EB8" w:rsidRPr="009C7ED6" w:rsidRDefault="00D03EB8" w:rsidP="009C7ED6">
      <w:pPr>
        <w:spacing w:after="0" w:line="240" w:lineRule="auto"/>
        <w:ind w:left="270"/>
        <w:rPr>
          <w:rFonts w:eastAsia="Times New Roman" w:cstheme="minorHAnsi"/>
          <w:b/>
          <w:bCs/>
          <w:sz w:val="24"/>
          <w:szCs w:val="24"/>
        </w:rPr>
      </w:pPr>
      <w:r w:rsidRPr="009C7ED6">
        <w:rPr>
          <w:rFonts w:eastAsia="Times New Roman" w:cstheme="minorHAnsi"/>
          <w:b/>
          <w:bCs/>
          <w:sz w:val="24"/>
          <w:szCs w:val="24"/>
        </w:rPr>
        <w:lastRenderedPageBreak/>
        <w:t>CE</w:t>
      </w:r>
      <w:r w:rsidR="00C20F47">
        <w:rPr>
          <w:rFonts w:eastAsia="Times New Roman" w:cstheme="minorHAnsi"/>
          <w:b/>
          <w:bCs/>
          <w:sz w:val="24"/>
          <w:szCs w:val="24"/>
        </w:rPr>
        <w:t xml:space="preserve"> </w:t>
      </w:r>
      <w:r w:rsidR="003850C7" w:rsidRPr="009C7ED6">
        <w:rPr>
          <w:rFonts w:eastAsia="Times New Roman" w:cstheme="minorHAnsi"/>
          <w:b/>
          <w:bCs/>
          <w:sz w:val="24"/>
          <w:szCs w:val="24"/>
        </w:rPr>
        <w:t>Information</w:t>
      </w:r>
      <w:r w:rsidRPr="009C7ED6">
        <w:rPr>
          <w:rFonts w:eastAsia="Times New Roman" w:cstheme="minorHAnsi"/>
          <w:b/>
          <w:bCs/>
          <w:sz w:val="24"/>
          <w:szCs w:val="24"/>
        </w:rPr>
        <w:t xml:space="preserve">: </w:t>
      </w:r>
    </w:p>
    <w:p w14:paraId="455F20E1" w14:textId="77777777" w:rsidR="009C7ED6" w:rsidRDefault="009C7ED6" w:rsidP="009C7ED6">
      <w:pPr>
        <w:spacing w:after="0" w:line="240" w:lineRule="auto"/>
        <w:ind w:left="270"/>
        <w:rPr>
          <w:rFonts w:eastAsia="Times New Roman" w:cstheme="minorHAnsi"/>
          <w:b/>
          <w:bCs/>
        </w:rPr>
      </w:pPr>
    </w:p>
    <w:p w14:paraId="79F5F692" w14:textId="381A80FB" w:rsidR="00D03EB8" w:rsidRPr="00493301" w:rsidRDefault="00D03EB8" w:rsidP="009C7ED6">
      <w:pPr>
        <w:spacing w:after="0" w:line="240" w:lineRule="auto"/>
        <w:ind w:left="270"/>
        <w:rPr>
          <w:rFonts w:eastAsia="Times New Roman" w:cstheme="minorHAnsi"/>
          <w:b/>
          <w:bCs/>
        </w:rPr>
      </w:pPr>
      <w:r w:rsidRPr="00493301">
        <w:rPr>
          <w:rFonts w:eastAsia="Times New Roman" w:cstheme="minorHAnsi"/>
          <w:b/>
          <w:bCs/>
        </w:rPr>
        <w:t xml:space="preserve">This non-live online distance learning course is approved for </w:t>
      </w:r>
      <w:r w:rsidR="00065516">
        <w:rPr>
          <w:rFonts w:eastAsia="Times New Roman" w:cstheme="minorHAnsi"/>
          <w:b/>
          <w:bCs/>
        </w:rPr>
        <w:t>9.75</w:t>
      </w:r>
      <w:r w:rsidRPr="00493301">
        <w:rPr>
          <w:rFonts w:eastAsia="Times New Roman" w:cstheme="minorHAnsi"/>
          <w:b/>
          <w:bCs/>
        </w:rPr>
        <w:t xml:space="preserve"> CE hours.</w:t>
      </w:r>
    </w:p>
    <w:p w14:paraId="68C735D3" w14:textId="77777777" w:rsidR="00D02265" w:rsidRDefault="00D02265" w:rsidP="00C20F47">
      <w:pPr>
        <w:tabs>
          <w:tab w:val="left" w:pos="270"/>
        </w:tabs>
        <w:ind w:left="180"/>
      </w:pPr>
    </w:p>
    <w:p w14:paraId="3CCF9EF1" w14:textId="77777777" w:rsidR="00D02265" w:rsidRDefault="00D02265" w:rsidP="00C20F47">
      <w:pPr>
        <w:tabs>
          <w:tab w:val="left" w:pos="270"/>
        </w:tabs>
        <w:ind w:left="180"/>
      </w:pPr>
      <w:r w:rsidRPr="00D02265">
        <w:t xml:space="preserve">To earn CE/CME credit, attendees must complete the course in full, pass the </w:t>
      </w:r>
      <w:proofErr w:type="spellStart"/>
      <w:r w:rsidRPr="00D02265">
        <w:t>post test</w:t>
      </w:r>
      <w:proofErr w:type="spellEnd"/>
      <w:r w:rsidRPr="00D02265">
        <w:t xml:space="preserve"> with a score of 80% or higher, and submit a course evaluation. Upon receipt of the evaluation, attendees will be able to print their CE/CME certificate of completion. </w:t>
      </w:r>
    </w:p>
    <w:p w14:paraId="1DB0462F" w14:textId="073BE9CB" w:rsidR="00C20F47" w:rsidRPr="004A3C24" w:rsidRDefault="00C20F47" w:rsidP="00C20F47">
      <w:pPr>
        <w:tabs>
          <w:tab w:val="left" w:pos="270"/>
        </w:tabs>
        <w:ind w:left="180"/>
        <w:rPr>
          <w:rFonts w:cstheme="minorHAnsi"/>
          <w:bCs/>
          <w:color w:val="000000" w:themeColor="text1"/>
        </w:rPr>
      </w:pPr>
      <w:r>
        <w:t xml:space="preserve">Please review complete CE and conflict-of-interest disclosure information prior to registering. </w:t>
      </w:r>
      <w:r>
        <w:rPr>
          <w:rFonts w:cstheme="minorHAnsi"/>
          <w:color w:val="000000" w:themeColor="text1"/>
          <w:shd w:val="clear" w:color="auto" w:fill="FFFFFF"/>
        </w:rPr>
        <w:t xml:space="preserve">This </w:t>
      </w:r>
      <w:r w:rsidRPr="001B597F">
        <w:rPr>
          <w:rFonts w:cstheme="minorHAnsi"/>
          <w:color w:val="000000" w:themeColor="text1"/>
          <w:shd w:val="clear" w:color="auto" w:fill="FFFFFF"/>
        </w:rPr>
        <w:t xml:space="preserve">professional continuing education activity was sponsored by </w:t>
      </w:r>
      <w:r w:rsidR="00C5169B">
        <w:rPr>
          <w:rFonts w:cstheme="minorHAnsi"/>
          <w:bCs/>
          <w:color w:val="000000" w:themeColor="text1"/>
        </w:rPr>
        <w:t>Praxis Continuing Education and Training by New Harbinger</w:t>
      </w:r>
      <w:r w:rsidRPr="001B597F">
        <w:rPr>
          <w:rFonts w:cstheme="minorHAnsi"/>
          <w:bCs/>
          <w:color w:val="000000" w:themeColor="text1"/>
        </w:rPr>
        <w:t xml:space="preserve"> and co-sponsored by</w:t>
      </w:r>
      <w:r>
        <w:rPr>
          <w:rFonts w:cstheme="minorHAnsi"/>
          <w:bCs/>
          <w:color w:val="000000" w:themeColor="text1"/>
        </w:rPr>
        <w:t xml:space="preserve"> the Beck Institute</w:t>
      </w:r>
      <w:r w:rsidRPr="001B597F">
        <w:rPr>
          <w:rFonts w:cstheme="minorHAnsi"/>
          <w:bCs/>
          <w:color w:val="000000" w:themeColor="text1"/>
        </w:rPr>
        <w:t xml:space="preserve">. </w:t>
      </w:r>
      <w:r w:rsidR="00C5169B">
        <w:rPr>
          <w:rFonts w:cstheme="minorHAnsi"/>
          <w:bCs/>
          <w:color w:val="000000" w:themeColor="text1"/>
        </w:rPr>
        <w:t>Praxis Continuing Education and Training by New Harbinger</w:t>
      </w:r>
      <w:r>
        <w:rPr>
          <w:rFonts w:cstheme="minorHAnsi"/>
          <w:bCs/>
          <w:color w:val="000000" w:themeColor="text1"/>
        </w:rPr>
        <w:t>,</w:t>
      </w:r>
      <w:r w:rsidRPr="001B597F">
        <w:rPr>
          <w:rFonts w:cstheme="minorHAnsi"/>
          <w:bCs/>
          <w:color w:val="000000" w:themeColor="text1"/>
        </w:rPr>
        <w:t xml:space="preserve"> who has been approved as a provider of continuing education by the organizations listed below, maintains responsibility for the educational activity offered and for following the standards and regulations for the organizations listed below</w:t>
      </w:r>
      <w:r>
        <w:rPr>
          <w:rFonts w:cstheme="minorHAnsi"/>
          <w:bCs/>
          <w:color w:val="000000" w:themeColor="text1"/>
        </w:rPr>
        <w:t>.</w:t>
      </w:r>
    </w:p>
    <w:p w14:paraId="0E813DDD" w14:textId="556C9984" w:rsidR="00C20F47" w:rsidRPr="00B60199" w:rsidRDefault="00C20F47" w:rsidP="00C20F47">
      <w:pPr>
        <w:tabs>
          <w:tab w:val="left" w:pos="270"/>
        </w:tabs>
        <w:ind w:left="180"/>
        <w:rPr>
          <w:b/>
          <w:bCs/>
        </w:rPr>
      </w:pPr>
      <w:r>
        <w:rPr>
          <w:noProof/>
        </w:rPr>
        <w:drawing>
          <wp:anchor distT="0" distB="0" distL="114300" distR="114300" simplePos="0" relativeHeight="251659264" behindDoc="1" locked="0" layoutInCell="1" allowOverlap="1" wp14:anchorId="556DB5A5" wp14:editId="6CDE4C89">
            <wp:simplePos x="0" y="0"/>
            <wp:positionH relativeFrom="column">
              <wp:posOffset>5593080</wp:posOffset>
            </wp:positionH>
            <wp:positionV relativeFrom="paragraph">
              <wp:posOffset>219075</wp:posOffset>
            </wp:positionV>
            <wp:extent cx="1219200" cy="836930"/>
            <wp:effectExtent l="0" t="0" r="0" b="1270"/>
            <wp:wrapTight wrapText="bothSides">
              <wp:wrapPolygon edited="0">
                <wp:start x="0" y="0"/>
                <wp:lineTo x="0" y="21141"/>
                <wp:lineTo x="21263" y="21141"/>
                <wp:lineTo x="2126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9200" cy="836930"/>
                    </a:xfrm>
                    <a:prstGeom prst="rect">
                      <a:avLst/>
                    </a:prstGeom>
                  </pic:spPr>
                </pic:pic>
              </a:graphicData>
            </a:graphic>
            <wp14:sizeRelH relativeFrom="page">
              <wp14:pctWidth>0</wp14:pctWidth>
            </wp14:sizeRelH>
            <wp14:sizeRelV relativeFrom="page">
              <wp14:pctHeight>0</wp14:pctHeight>
            </wp14:sizeRelV>
          </wp:anchor>
        </w:drawing>
      </w:r>
      <w:r w:rsidRPr="00B60199">
        <w:rPr>
          <w:b/>
          <w:bCs/>
        </w:rPr>
        <w:t xml:space="preserve">Praxis </w:t>
      </w:r>
      <w:r w:rsidR="00C5169B" w:rsidRPr="00C5169B">
        <w:rPr>
          <w:b/>
          <w:bCs/>
        </w:rPr>
        <w:t xml:space="preserve">Continuing Education and Training by New Harbinger </w:t>
      </w:r>
      <w:r w:rsidRPr="00B60199">
        <w:rPr>
          <w:b/>
          <w:bCs/>
        </w:rPr>
        <w:t xml:space="preserve">maintains responsibility for the program with the CE approvals outlined below: </w:t>
      </w:r>
    </w:p>
    <w:p w14:paraId="0F2EF106" w14:textId="1E99C534" w:rsidR="00C20F47" w:rsidRDefault="007774A7" w:rsidP="007774A7">
      <w:pPr>
        <w:tabs>
          <w:tab w:val="left" w:pos="270"/>
        </w:tabs>
        <w:ind w:left="180"/>
        <w:rPr>
          <w:rFonts w:cstheme="minorHAnsi"/>
          <w:color w:val="000000"/>
          <w:shd w:val="clear" w:color="auto" w:fill="FFFFFF"/>
        </w:rPr>
      </w:pPr>
      <w:r>
        <w:rPr>
          <w:noProof/>
        </w:rPr>
        <w:drawing>
          <wp:anchor distT="0" distB="0" distL="114300" distR="114300" simplePos="0" relativeHeight="251662336" behindDoc="1" locked="0" layoutInCell="1" allowOverlap="1" wp14:anchorId="6CAE5834" wp14:editId="56C3910B">
            <wp:simplePos x="0" y="0"/>
            <wp:positionH relativeFrom="column">
              <wp:posOffset>5638800</wp:posOffset>
            </wp:positionH>
            <wp:positionV relativeFrom="paragraph">
              <wp:posOffset>998220</wp:posOffset>
            </wp:positionV>
            <wp:extent cx="868680" cy="619760"/>
            <wp:effectExtent l="0" t="0" r="7620" b="8890"/>
            <wp:wrapTight wrapText="bothSides">
              <wp:wrapPolygon edited="0">
                <wp:start x="0" y="0"/>
                <wp:lineTo x="0" y="21246"/>
                <wp:lineTo x="21316" y="21246"/>
                <wp:lineTo x="2131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8680" cy="619760"/>
                    </a:xfrm>
                    <a:prstGeom prst="rect">
                      <a:avLst/>
                    </a:prstGeom>
                  </pic:spPr>
                </pic:pic>
              </a:graphicData>
            </a:graphic>
            <wp14:sizeRelH relativeFrom="margin">
              <wp14:pctWidth>0</wp14:pctWidth>
            </wp14:sizeRelH>
            <wp14:sizeRelV relativeFrom="margin">
              <wp14:pctHeight>0</wp14:pctHeight>
            </wp14:sizeRelV>
          </wp:anchor>
        </w:drawing>
      </w:r>
      <w:r w:rsidR="00C20F47">
        <w:t xml:space="preserve">Joint Accreditation: </w:t>
      </w:r>
      <w:r w:rsidR="00C20F47" w:rsidRPr="00796B11">
        <w:rPr>
          <w:rFonts w:cstheme="minorHAnsi"/>
          <w:color w:val="000000"/>
          <w:shd w:val="clear" w:color="auto" w:fill="FFFFFF"/>
        </w:rPr>
        <w:t xml:space="preserve">In support of improving patient care, this activity has been planned and implemented by </w:t>
      </w:r>
      <w:r w:rsidR="00C5169B">
        <w:rPr>
          <w:rFonts w:cstheme="minorHAnsi"/>
          <w:color w:val="000000"/>
          <w:shd w:val="clear" w:color="auto" w:fill="FFFFFF"/>
        </w:rPr>
        <w:t xml:space="preserve">Praxis Continuing Education and Training by New Harbinger </w:t>
      </w:r>
      <w:r w:rsidR="00C20F47" w:rsidRPr="00796B11">
        <w:rPr>
          <w:rFonts w:cstheme="minorHAnsi"/>
          <w:color w:val="000000"/>
          <w:shd w:val="clear" w:color="auto" w:fill="FFFFFF"/>
        </w:rPr>
        <w:t xml:space="preserve">and </w:t>
      </w:r>
      <w:r w:rsidR="00C20F47">
        <w:rPr>
          <w:rFonts w:cstheme="minorHAnsi"/>
          <w:color w:val="000000"/>
          <w:shd w:val="clear" w:color="auto" w:fill="FFFFFF"/>
        </w:rPr>
        <w:t>the Beck Institute</w:t>
      </w:r>
      <w:r w:rsidR="00C20F47" w:rsidRPr="00796B11">
        <w:rPr>
          <w:rFonts w:cstheme="minorHAnsi"/>
          <w:color w:val="000000"/>
          <w:shd w:val="clear" w:color="auto" w:fill="FFFFFF"/>
        </w:rPr>
        <w:t xml:space="preserve">. </w:t>
      </w:r>
      <w:r w:rsidR="00C5169B">
        <w:rPr>
          <w:rFonts w:cstheme="minorHAnsi"/>
          <w:color w:val="000000"/>
          <w:shd w:val="clear" w:color="auto" w:fill="FFFFFF"/>
        </w:rPr>
        <w:t xml:space="preserve">Praxis Continuing Education and Training by New Harbinger </w:t>
      </w:r>
      <w:r w:rsidR="00C20F47" w:rsidRPr="00796B11">
        <w:rPr>
          <w:rFonts w:cstheme="minorHAnsi"/>
          <w:color w:val="000000"/>
          <w:shd w:val="clear" w:color="auto" w:fill="FFFFFF"/>
        </w:rPr>
        <w:t>is jointly accredited by the Accreditation Council for Continuing Medical Education (ACCME), the Accreditation Council for Pharmacy Education (ACPE), and the American Nurses Credentialing Center (ANCC), to provide continuing education for the healthcare team.</w:t>
      </w:r>
    </w:p>
    <w:p w14:paraId="06815D5B" w14:textId="11B31261" w:rsidR="007774A7" w:rsidRDefault="007774A7" w:rsidP="007774A7">
      <w:pPr>
        <w:ind w:left="180"/>
      </w:pPr>
      <w:bookmarkStart w:id="0" w:name="_Hlk99445770"/>
      <w:r>
        <w:t xml:space="preserve">IPCE: </w:t>
      </w:r>
      <w:r w:rsidRPr="00A352A3">
        <w:t xml:space="preserve">This activity was planned by and for the healthcare team, and learners will receive </w:t>
      </w:r>
      <w:r>
        <w:t>9.75</w:t>
      </w:r>
      <w:r w:rsidRPr="00A352A3">
        <w:t xml:space="preserve"> Interprofessional Continuing Education (IPCE) credit for learning and change.</w:t>
      </w:r>
      <w:bookmarkEnd w:id="0"/>
    </w:p>
    <w:p w14:paraId="16E12D54" w14:textId="0C2F1A3C" w:rsidR="00C20F47" w:rsidRDefault="00C20F47" w:rsidP="00C20F47">
      <w:pPr>
        <w:tabs>
          <w:tab w:val="left" w:pos="270"/>
        </w:tabs>
        <w:ind w:left="180"/>
      </w:pPr>
      <w:r>
        <w:t xml:space="preserve">Nursing: </w:t>
      </w:r>
      <w:r w:rsidR="00C5169B">
        <w:t xml:space="preserve">Praxis Continuing Education and Training by New Harbinger </w:t>
      </w:r>
      <w:r>
        <w:t xml:space="preserve">designates this activity for a maximum of </w:t>
      </w:r>
      <w:r w:rsidR="001D4E91">
        <w:t>9.75</w:t>
      </w:r>
      <w:r>
        <w:t xml:space="preserve"> ANCC contact hours. </w:t>
      </w:r>
    </w:p>
    <w:p w14:paraId="5794A131" w14:textId="65794674" w:rsidR="00C20F47" w:rsidRDefault="00C20F47" w:rsidP="00C20F47">
      <w:pPr>
        <w:tabs>
          <w:tab w:val="left" w:pos="270"/>
        </w:tabs>
        <w:ind w:left="180"/>
      </w:pPr>
      <w:r>
        <w:rPr>
          <w:noProof/>
        </w:rPr>
        <w:drawing>
          <wp:anchor distT="0" distB="0" distL="114300" distR="114300" simplePos="0" relativeHeight="251660288" behindDoc="1" locked="0" layoutInCell="1" allowOverlap="1" wp14:anchorId="272B1C8E" wp14:editId="3BF345EF">
            <wp:simplePos x="0" y="0"/>
            <wp:positionH relativeFrom="column">
              <wp:posOffset>5264785</wp:posOffset>
            </wp:positionH>
            <wp:positionV relativeFrom="paragraph">
              <wp:posOffset>644525</wp:posOffset>
            </wp:positionV>
            <wp:extent cx="1356995" cy="503555"/>
            <wp:effectExtent l="0" t="0" r="0" b="0"/>
            <wp:wrapTight wrapText="bothSides">
              <wp:wrapPolygon edited="0">
                <wp:start x="0" y="0"/>
                <wp:lineTo x="0" y="20429"/>
                <wp:lineTo x="21226" y="20429"/>
                <wp:lineTo x="2122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6995" cy="503555"/>
                    </a:xfrm>
                    <a:prstGeom prst="rect">
                      <a:avLst/>
                    </a:prstGeom>
                  </pic:spPr>
                </pic:pic>
              </a:graphicData>
            </a:graphic>
            <wp14:sizeRelH relativeFrom="page">
              <wp14:pctWidth>0</wp14:pctWidth>
            </wp14:sizeRelH>
            <wp14:sizeRelV relativeFrom="page">
              <wp14:pctHeight>0</wp14:pctHeight>
            </wp14:sizeRelV>
          </wp:anchor>
        </w:drawing>
      </w:r>
      <w:r>
        <w:t xml:space="preserve">Physicians: </w:t>
      </w:r>
      <w:r w:rsidR="00C5169B">
        <w:t>Praxis Continuing Education and Training by New Harbinger</w:t>
      </w:r>
      <w:r>
        <w:t xml:space="preserve"> designates this </w:t>
      </w:r>
      <w:r w:rsidR="001D4E91">
        <w:t xml:space="preserve">enduring material </w:t>
      </w:r>
      <w:r>
        <w:t xml:space="preserve">activity for a maximum of </w:t>
      </w:r>
      <w:r w:rsidR="001D4E91">
        <w:t xml:space="preserve">9.75 </w:t>
      </w:r>
      <w:r>
        <w:t xml:space="preserve">AMA PRA Category 1 Credits™. Physicians should claim only the credit commensurate with the extent of their participation in the activity. </w:t>
      </w:r>
    </w:p>
    <w:p w14:paraId="7BF8BF0C" w14:textId="77777777" w:rsidR="00C20F47" w:rsidRPr="00402A60" w:rsidRDefault="00C20F47" w:rsidP="00C20F47">
      <w:pPr>
        <w:tabs>
          <w:tab w:val="left" w:pos="270"/>
        </w:tabs>
        <w:ind w:left="180"/>
      </w:pPr>
      <w:r w:rsidRPr="00402A60">
        <w:t xml:space="preserve">Psychologists: Continuing Education (CE) credits for psychologists are provided through the co-sponsorship of the American Psychological Association (APA) Office of Continuing Education in Psychology (CEP). The APA CEP Office maintains responsibly for the content of the programs. </w:t>
      </w:r>
    </w:p>
    <w:p w14:paraId="6EB4A454" w14:textId="36DE0BCE" w:rsidR="007774A7" w:rsidRDefault="007774A7" w:rsidP="00C20F47">
      <w:pPr>
        <w:tabs>
          <w:tab w:val="left" w:pos="270"/>
        </w:tabs>
        <w:ind w:left="180"/>
      </w:pPr>
      <w:r w:rsidRPr="007774A7">
        <w:t xml:space="preserve">Social Workers: As a Jointly Accredited Organization, </w:t>
      </w:r>
      <w:r w:rsidR="00C5169B">
        <w:t>Praxis Continuing Education and Training by New Harbinger</w:t>
      </w:r>
      <w:r w:rsidRPr="007774A7">
        <w:t xml:space="preserv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 </w:t>
      </w:r>
      <w:r>
        <w:t>9.75</w:t>
      </w:r>
      <w:r w:rsidRPr="007774A7">
        <w:t xml:space="preserve"> clinical continuing education credits. </w:t>
      </w:r>
    </w:p>
    <w:p w14:paraId="1B9D55C6" w14:textId="7FBE4B5C" w:rsidR="00C20F47" w:rsidRDefault="00C20F47" w:rsidP="00C20F47">
      <w:pPr>
        <w:tabs>
          <w:tab w:val="left" w:pos="270"/>
        </w:tabs>
        <w:ind w:left="180"/>
      </w:pPr>
      <w:r>
        <w:t xml:space="preserve">NY Social Workers: </w:t>
      </w:r>
      <w:r w:rsidR="00C5169B">
        <w:t>Praxis Continuing Education and Training by New Harbinger</w:t>
      </w:r>
      <w:r>
        <w:t xml:space="preserve"> is recognized by the New York State Education Department's State Board for Social Work as an approved provider of continuing education for licensed social workers #SW-0467</w:t>
      </w:r>
    </w:p>
    <w:p w14:paraId="7DF04114" w14:textId="22176A25" w:rsidR="00C20F47" w:rsidRDefault="00C20F47" w:rsidP="00C20F47">
      <w:pPr>
        <w:tabs>
          <w:tab w:val="left" w:pos="270"/>
        </w:tabs>
        <w:ind w:left="180"/>
      </w:pPr>
      <w:r>
        <w:lastRenderedPageBreak/>
        <w:t xml:space="preserve">NY Counselors: </w:t>
      </w:r>
      <w:r w:rsidR="00C5169B">
        <w:t>Praxis Continuing Education and Training by New Harbinger</w:t>
      </w:r>
      <w:r>
        <w:t xml:space="preserve"> is recognized by the New York State Education Department's State Board for Mental Health Practitioners as an approved provider of continuing education for licensed mental health counselors #MHC-0198.</w:t>
      </w:r>
    </w:p>
    <w:p w14:paraId="04FD864B" w14:textId="2F949099" w:rsidR="00C20F47" w:rsidRDefault="00C20F47" w:rsidP="00C20F47">
      <w:pPr>
        <w:tabs>
          <w:tab w:val="left" w:pos="270"/>
        </w:tabs>
        <w:ind w:left="180"/>
      </w:pPr>
      <w:r>
        <w:t xml:space="preserve">NY Psychologists: </w:t>
      </w:r>
      <w:r w:rsidR="00C5169B">
        <w:t>Praxis Continuing Education and Training by New Harbinger</w:t>
      </w:r>
      <w:r>
        <w:t xml:space="preserve"> is recognized by the New York State Education Department's State Board for Psychology as an approved provider of continuing education for licensed psychologists #PSY-0002.</w:t>
      </w:r>
    </w:p>
    <w:p w14:paraId="0D159FA0" w14:textId="77777777" w:rsidR="00C20F47" w:rsidRPr="001B597F" w:rsidRDefault="00C20F47" w:rsidP="00C20F47">
      <w:pPr>
        <w:tabs>
          <w:tab w:val="left" w:pos="270"/>
        </w:tabs>
        <w:ind w:left="180"/>
        <w:rPr>
          <w:rFonts w:cstheme="minorHAnsi"/>
          <w:bCs/>
          <w:color w:val="000000" w:themeColor="text1"/>
        </w:rPr>
      </w:pPr>
      <w:r w:rsidRPr="001B597F">
        <w:rPr>
          <w:rFonts w:cstheme="minorHAnsi"/>
          <w:b/>
          <w:bCs/>
          <w:color w:val="000000" w:themeColor="text1"/>
        </w:rPr>
        <w:t>NOTE</w:t>
      </w:r>
      <w:r w:rsidRPr="001B597F">
        <w:rPr>
          <w:rFonts w:cstheme="minorHAnsi"/>
          <w:bCs/>
          <w:color w:val="000000" w:themeColor="text1"/>
        </w:rPr>
        <w:t>: Many state boards accept offerings accredited by national or other state organizations. If your state is not listed, please check with your professional licensing board to determine whether the accreditations listed are accepted.</w:t>
      </w:r>
    </w:p>
    <w:p w14:paraId="091BC97F" w14:textId="77777777" w:rsidR="00D02265" w:rsidRDefault="00D02265" w:rsidP="00D02265">
      <w:pPr>
        <w:tabs>
          <w:tab w:val="left" w:pos="270"/>
        </w:tabs>
        <w:spacing w:after="0" w:line="240" w:lineRule="auto"/>
        <w:ind w:left="180"/>
      </w:pPr>
      <w:r>
        <w:t>Course launch date: 11/30/21</w:t>
      </w:r>
    </w:p>
    <w:p w14:paraId="7D42FD38" w14:textId="77777777" w:rsidR="00DF43C0" w:rsidRPr="00DF43C0" w:rsidRDefault="00DF43C0" w:rsidP="00DF43C0">
      <w:pPr>
        <w:tabs>
          <w:tab w:val="left" w:pos="270"/>
        </w:tabs>
        <w:spacing w:after="0" w:line="240" w:lineRule="auto"/>
        <w:ind w:left="180"/>
      </w:pPr>
      <w:r w:rsidRPr="00DF43C0">
        <w:t>Next review date/Course expiration date: 11/29/2027</w:t>
      </w:r>
    </w:p>
    <w:p w14:paraId="0A710766" w14:textId="77777777" w:rsidR="00D02265" w:rsidRDefault="00D02265" w:rsidP="00D02265">
      <w:pPr>
        <w:tabs>
          <w:tab w:val="left" w:pos="270"/>
        </w:tabs>
        <w:spacing w:after="0" w:line="240" w:lineRule="auto"/>
        <w:ind w:left="180"/>
      </w:pPr>
    </w:p>
    <w:p w14:paraId="4650B7D1" w14:textId="77777777" w:rsidR="00C20F47" w:rsidRPr="00BC27D5" w:rsidRDefault="00C20F47" w:rsidP="00C20F47">
      <w:pPr>
        <w:tabs>
          <w:tab w:val="left" w:pos="270"/>
        </w:tabs>
        <w:spacing w:after="0" w:line="240" w:lineRule="auto"/>
        <w:ind w:left="180"/>
        <w:jc w:val="both"/>
        <w:rPr>
          <w:rFonts w:cstheme="minorHAnsi"/>
          <w:b/>
        </w:rPr>
      </w:pPr>
      <w:r w:rsidRPr="00BC27D5">
        <w:rPr>
          <w:rFonts w:cstheme="minorHAnsi"/>
          <w:b/>
        </w:rPr>
        <w:t>Disclosure Information:</w:t>
      </w:r>
    </w:p>
    <w:p w14:paraId="21A89FA6" w14:textId="77777777" w:rsidR="00C20F47" w:rsidRDefault="00C20F47" w:rsidP="00C20F47">
      <w:pPr>
        <w:tabs>
          <w:tab w:val="left" w:pos="270"/>
        </w:tabs>
        <w:spacing w:after="0" w:line="240" w:lineRule="auto"/>
        <w:ind w:left="180"/>
        <w:jc w:val="both"/>
        <w:rPr>
          <w:rFonts w:cstheme="minorHAnsi"/>
          <w:bCs/>
        </w:rPr>
      </w:pPr>
    </w:p>
    <w:p w14:paraId="5D016B29" w14:textId="7D2325BD" w:rsidR="00C20F47" w:rsidRDefault="00C5169B" w:rsidP="00C20F47">
      <w:pPr>
        <w:tabs>
          <w:tab w:val="left" w:pos="270"/>
        </w:tabs>
        <w:spacing w:after="0" w:line="240" w:lineRule="auto"/>
        <w:ind w:left="180"/>
        <w:jc w:val="both"/>
        <w:rPr>
          <w:rFonts w:cstheme="minorHAnsi"/>
          <w:bCs/>
        </w:rPr>
      </w:pPr>
      <w:bookmarkStart w:id="1" w:name="_Hlk86311453"/>
      <w:r>
        <w:rPr>
          <w:rFonts w:cstheme="minorHAnsi"/>
          <w:bCs/>
        </w:rPr>
        <w:t>Praxis Continuing Education and Training by New Harbinger</w:t>
      </w:r>
      <w:r w:rsidR="00C20F47" w:rsidRPr="0088355A">
        <w:rPr>
          <w:rFonts w:cstheme="minorHAnsi"/>
          <w:bCs/>
        </w:rPr>
        <w:t xml:space="preserve"> is responsible for the content, quality and scientific integrity of all CE/CME activities certified for credit. When an educational activity is offered for medical (CME), Nursing (ANCC) and/or Psychology (APA) continuing education credit, participants must be informed as to the source, amount, nature, and disposition of any funding used to support the activity, whether in the form of educational grants, cash contributions, or in-kind contributions.  Individuals in a position to influence course content must also disclose whether they have one or more relevant financial relationships with</w:t>
      </w:r>
      <w:r w:rsidR="00C20F47">
        <w:rPr>
          <w:rFonts w:cstheme="minorHAnsi"/>
          <w:bCs/>
        </w:rPr>
        <w:t xml:space="preserve"> ineligible </w:t>
      </w:r>
      <w:r w:rsidR="00C20F47" w:rsidRPr="0088355A">
        <w:rPr>
          <w:rFonts w:cstheme="minorHAnsi"/>
          <w:bCs/>
        </w:rPr>
        <w:t>companies</w:t>
      </w:r>
      <w:r w:rsidR="00C20F47">
        <w:rPr>
          <w:rFonts w:cstheme="minorHAnsi"/>
          <w:bCs/>
        </w:rPr>
        <w:t>.</w:t>
      </w:r>
    </w:p>
    <w:p w14:paraId="1A78E527" w14:textId="77777777" w:rsidR="00C20F47" w:rsidRDefault="00C20F47" w:rsidP="00C20F47">
      <w:pPr>
        <w:tabs>
          <w:tab w:val="left" w:pos="270"/>
        </w:tabs>
        <w:spacing w:after="0" w:line="240" w:lineRule="auto"/>
        <w:ind w:left="180"/>
        <w:jc w:val="both"/>
        <w:rPr>
          <w:rFonts w:cstheme="minorHAnsi"/>
          <w:bCs/>
        </w:rPr>
      </w:pPr>
    </w:p>
    <w:p w14:paraId="2AFBDA2B" w14:textId="77777777" w:rsidR="00C20F47" w:rsidRDefault="00C20F47" w:rsidP="00C20F47">
      <w:pPr>
        <w:tabs>
          <w:tab w:val="left" w:pos="270"/>
        </w:tabs>
        <w:spacing w:after="0" w:line="240" w:lineRule="auto"/>
        <w:ind w:left="180"/>
        <w:jc w:val="both"/>
        <w:rPr>
          <w:rFonts w:cstheme="minorHAnsi"/>
          <w:bCs/>
        </w:rPr>
      </w:pPr>
      <w:r w:rsidRPr="00164D85">
        <w:rPr>
          <w:rFonts w:cstheme="minorHAnsi"/>
          <w:bCs/>
        </w:rPr>
        <w:t>We define ineligible companies as those whose primary business is producing, marketing, selling, re-selling, or distributing healthcare products used by or on patients. There is no minimum financial threshold;</w:t>
      </w:r>
      <w:r>
        <w:rPr>
          <w:rFonts w:cstheme="minorHAnsi"/>
          <w:bCs/>
        </w:rPr>
        <w:t xml:space="preserve"> individuals</w:t>
      </w:r>
      <w:r w:rsidRPr="00164D85">
        <w:rPr>
          <w:rFonts w:cstheme="minorHAnsi"/>
          <w:bCs/>
        </w:rPr>
        <w:t xml:space="preserve"> must disclose all financial relationships, regardless of the amount, with ineligible companies. We ask </w:t>
      </w:r>
      <w:r>
        <w:rPr>
          <w:rFonts w:cstheme="minorHAnsi"/>
          <w:bCs/>
        </w:rPr>
        <w:t>that</w:t>
      </w:r>
      <w:r w:rsidRPr="00164D85">
        <w:rPr>
          <w:rFonts w:cstheme="minorHAnsi"/>
          <w:bCs/>
        </w:rPr>
        <w:t xml:space="preserve"> disclose</w:t>
      </w:r>
      <w:r>
        <w:rPr>
          <w:rFonts w:cstheme="minorHAnsi"/>
          <w:bCs/>
        </w:rPr>
        <w:t>s are made</w:t>
      </w:r>
      <w:r w:rsidRPr="00164D85">
        <w:rPr>
          <w:rFonts w:cstheme="minorHAnsi"/>
          <w:bCs/>
        </w:rPr>
        <w:t xml:space="preserve"> regardless of whether </w:t>
      </w:r>
      <w:r>
        <w:rPr>
          <w:rFonts w:cstheme="minorHAnsi"/>
          <w:bCs/>
        </w:rPr>
        <w:t>the individual</w:t>
      </w:r>
      <w:r w:rsidRPr="00164D85">
        <w:rPr>
          <w:rFonts w:cstheme="minorHAnsi"/>
          <w:bCs/>
        </w:rPr>
        <w:t xml:space="preserve"> view</w:t>
      </w:r>
      <w:r>
        <w:rPr>
          <w:rFonts w:cstheme="minorHAnsi"/>
          <w:bCs/>
        </w:rPr>
        <w:t>s</w:t>
      </w:r>
      <w:r w:rsidRPr="00164D85">
        <w:rPr>
          <w:rFonts w:cstheme="minorHAnsi"/>
          <w:bCs/>
        </w:rPr>
        <w:t xml:space="preserve"> the financial relationships as relevant to the education. For more information on the Standards for Integrity and Independence in Accredited Continuing Education, please visit accme.org/standards.</w:t>
      </w:r>
    </w:p>
    <w:p w14:paraId="1AED64A9" w14:textId="77777777" w:rsidR="00C20F47" w:rsidRPr="0088355A" w:rsidRDefault="00C20F47" w:rsidP="00C20F47">
      <w:pPr>
        <w:tabs>
          <w:tab w:val="left" w:pos="270"/>
        </w:tabs>
        <w:spacing w:after="0" w:line="240" w:lineRule="auto"/>
        <w:ind w:left="180"/>
        <w:jc w:val="both"/>
        <w:rPr>
          <w:rFonts w:cstheme="minorHAnsi"/>
          <w:bCs/>
        </w:rPr>
      </w:pPr>
    </w:p>
    <w:p w14:paraId="203B7459" w14:textId="77777777" w:rsidR="00C20F47" w:rsidRPr="0088355A" w:rsidRDefault="00C20F47" w:rsidP="00C20F47">
      <w:pPr>
        <w:tabs>
          <w:tab w:val="left" w:pos="270"/>
        </w:tabs>
        <w:spacing w:after="0" w:line="240" w:lineRule="auto"/>
        <w:ind w:left="180"/>
        <w:jc w:val="both"/>
        <w:rPr>
          <w:rFonts w:cstheme="minorHAnsi"/>
          <w:bCs/>
        </w:rPr>
      </w:pPr>
      <w:r w:rsidRPr="0088355A">
        <w:rPr>
          <w:rFonts w:cstheme="minorHAnsi"/>
          <w:bCs/>
        </w:rPr>
        <w:t xml:space="preserve">All those in a position to control the content of an education activity are asked to disclose any relevant financial relationships they have with any </w:t>
      </w:r>
      <w:r>
        <w:rPr>
          <w:rFonts w:cstheme="minorHAnsi"/>
          <w:bCs/>
        </w:rPr>
        <w:t>ineligible companies.</w:t>
      </w:r>
      <w:r w:rsidRPr="0088355A">
        <w:rPr>
          <w:rFonts w:cstheme="minorHAnsi"/>
          <w:bCs/>
        </w:rPr>
        <w:t xml:space="preserve"> </w:t>
      </w:r>
    </w:p>
    <w:p w14:paraId="23EB42B7" w14:textId="77777777" w:rsidR="00C20F47" w:rsidRPr="0088355A" w:rsidRDefault="00C20F47" w:rsidP="00C20F47">
      <w:pPr>
        <w:tabs>
          <w:tab w:val="left" w:pos="270"/>
        </w:tabs>
        <w:spacing w:after="0" w:line="240" w:lineRule="auto"/>
        <w:ind w:left="180"/>
        <w:jc w:val="both"/>
        <w:rPr>
          <w:rFonts w:cstheme="minorHAnsi"/>
          <w:bCs/>
        </w:rPr>
      </w:pPr>
    </w:p>
    <w:p w14:paraId="136B2BCB" w14:textId="77777777" w:rsidR="00C20F47" w:rsidRPr="0088355A" w:rsidRDefault="00C20F47" w:rsidP="00C20F47">
      <w:pPr>
        <w:tabs>
          <w:tab w:val="left" w:pos="270"/>
        </w:tabs>
        <w:spacing w:after="0" w:line="240" w:lineRule="auto"/>
        <w:ind w:left="180"/>
        <w:jc w:val="both"/>
        <w:rPr>
          <w:rFonts w:cstheme="minorHAnsi"/>
          <w:bCs/>
          <w:i/>
          <w:iCs/>
        </w:rPr>
      </w:pPr>
      <w:r w:rsidRPr="0088355A">
        <w:rPr>
          <w:rFonts w:cstheme="minorHAnsi"/>
          <w:bCs/>
          <w:i/>
          <w:iCs/>
        </w:rPr>
        <w:t>There is no commercial support for this activity.</w:t>
      </w:r>
    </w:p>
    <w:p w14:paraId="117BBEE6" w14:textId="77777777" w:rsidR="00C20F47" w:rsidRDefault="00C20F47" w:rsidP="00C20F47">
      <w:pPr>
        <w:tabs>
          <w:tab w:val="left" w:pos="270"/>
        </w:tabs>
        <w:spacing w:after="0" w:line="240" w:lineRule="auto"/>
        <w:ind w:left="180"/>
        <w:rPr>
          <w:rFonts w:cstheme="minorHAnsi"/>
          <w:bCs/>
          <w:i/>
          <w:iCs/>
        </w:rPr>
      </w:pPr>
    </w:p>
    <w:p w14:paraId="53574137" w14:textId="77777777" w:rsidR="00C20F47" w:rsidRPr="0088355A" w:rsidRDefault="00C20F47" w:rsidP="00C20F47">
      <w:pPr>
        <w:tabs>
          <w:tab w:val="left" w:pos="270"/>
        </w:tabs>
        <w:spacing w:after="0" w:line="240" w:lineRule="auto"/>
        <w:ind w:left="180"/>
        <w:rPr>
          <w:rFonts w:cstheme="minorHAnsi"/>
        </w:rPr>
      </w:pPr>
      <w:r>
        <w:rPr>
          <w:rFonts w:cstheme="minorHAnsi"/>
          <w:bCs/>
          <w:i/>
          <w:iCs/>
        </w:rPr>
        <w:t xml:space="preserve">None of the planners or presenters for this educational activity have relevant financial relationship(s) to disclose with ineligible companies whose primary business is producing, marketing, selling, re-selling, or distributing healthcare products used by or on patients. </w:t>
      </w:r>
    </w:p>
    <w:bookmarkEnd w:id="1"/>
    <w:p w14:paraId="1CC05F0F" w14:textId="77777777" w:rsidR="00BD563F" w:rsidRDefault="00BD563F" w:rsidP="009C7ED6">
      <w:pPr>
        <w:ind w:left="270"/>
        <w:rPr>
          <w:rFonts w:cstheme="minorHAnsi"/>
          <w:b/>
          <w:bCs/>
          <w:sz w:val="24"/>
          <w:szCs w:val="24"/>
        </w:rPr>
      </w:pPr>
    </w:p>
    <w:p w14:paraId="56E8E3E3" w14:textId="71426F9A" w:rsidR="00D93F99" w:rsidRDefault="00D93F99" w:rsidP="009C7ED6">
      <w:pPr>
        <w:ind w:left="270"/>
        <w:rPr>
          <w:rFonts w:cstheme="minorHAnsi"/>
          <w:b/>
          <w:bCs/>
          <w:sz w:val="24"/>
          <w:szCs w:val="24"/>
        </w:rPr>
      </w:pPr>
      <w:r w:rsidRPr="37569A64">
        <w:rPr>
          <w:b/>
          <w:bCs/>
          <w:sz w:val="24"/>
          <w:szCs w:val="24"/>
        </w:rPr>
        <w:t>References:</w:t>
      </w:r>
    </w:p>
    <w:p w14:paraId="3A38DAD0" w14:textId="77777777"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t xml:space="preserve">Anik, E., West, R. M., </w:t>
      </w:r>
      <w:proofErr w:type="spellStart"/>
      <w:r w:rsidRPr="00146850">
        <w:rPr>
          <w:rFonts w:ascii="Calibri" w:eastAsia="Calibri" w:hAnsi="Calibri" w:cs="Calibri"/>
        </w:rPr>
        <w:t>Cardno</w:t>
      </w:r>
      <w:proofErr w:type="spellEnd"/>
      <w:r w:rsidRPr="00146850">
        <w:rPr>
          <w:rFonts w:ascii="Calibri" w:eastAsia="Calibri" w:hAnsi="Calibri" w:cs="Calibri"/>
        </w:rPr>
        <w:t xml:space="preserve">, A. G., &amp; Mir, G. (2021). Culturally adapted psychotherapies for depressed adults: a systematic review and meta-analysis. </w:t>
      </w:r>
      <w:r w:rsidRPr="00146850">
        <w:rPr>
          <w:rFonts w:ascii="Calibri" w:eastAsia="Calibri" w:hAnsi="Calibri" w:cs="Calibri"/>
          <w:i/>
          <w:iCs/>
        </w:rPr>
        <w:t>Journal of affective disorders</w:t>
      </w:r>
      <w:r w:rsidRPr="00146850">
        <w:rPr>
          <w:rFonts w:ascii="Calibri" w:eastAsia="Calibri" w:hAnsi="Calibri" w:cs="Calibri"/>
        </w:rPr>
        <w:t xml:space="preserve">, </w:t>
      </w:r>
      <w:r w:rsidRPr="00146850">
        <w:rPr>
          <w:rFonts w:ascii="Calibri" w:eastAsia="Calibri" w:hAnsi="Calibri" w:cs="Calibri"/>
          <w:i/>
          <w:iCs/>
        </w:rPr>
        <w:t>278</w:t>
      </w:r>
      <w:r w:rsidRPr="00146850">
        <w:rPr>
          <w:rFonts w:ascii="Calibri" w:eastAsia="Calibri" w:hAnsi="Calibri" w:cs="Calibri"/>
        </w:rPr>
        <w:t xml:space="preserve">, 296-310.  </w:t>
      </w:r>
    </w:p>
    <w:p w14:paraId="322F1EAD" w14:textId="77777777"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t xml:space="preserve">Cuijpers, P., </w:t>
      </w:r>
      <w:proofErr w:type="spellStart"/>
      <w:r w:rsidRPr="00146850">
        <w:rPr>
          <w:rFonts w:ascii="Calibri" w:eastAsia="Calibri" w:hAnsi="Calibri" w:cs="Calibri"/>
        </w:rPr>
        <w:t>Berking</w:t>
      </w:r>
      <w:proofErr w:type="spellEnd"/>
      <w:r w:rsidRPr="00146850">
        <w:rPr>
          <w:rFonts w:ascii="Calibri" w:eastAsia="Calibri" w:hAnsi="Calibri" w:cs="Calibri"/>
        </w:rPr>
        <w:t xml:space="preserve">, M., Andersson, G., Quigley, L., </w:t>
      </w:r>
      <w:proofErr w:type="spellStart"/>
      <w:r w:rsidRPr="00146850">
        <w:rPr>
          <w:rFonts w:ascii="Calibri" w:eastAsia="Calibri" w:hAnsi="Calibri" w:cs="Calibri"/>
        </w:rPr>
        <w:t>Kleiboer</w:t>
      </w:r>
      <w:proofErr w:type="spellEnd"/>
      <w:r w:rsidRPr="00146850">
        <w:rPr>
          <w:rFonts w:ascii="Calibri" w:eastAsia="Calibri" w:hAnsi="Calibri" w:cs="Calibri"/>
        </w:rPr>
        <w:t>, A., &amp; Dobson, K. S. (2013). A meta-analysis of cognitive-</w:t>
      </w:r>
      <w:proofErr w:type="spellStart"/>
      <w:r w:rsidRPr="00146850">
        <w:rPr>
          <w:rFonts w:ascii="Calibri" w:eastAsia="Calibri" w:hAnsi="Calibri" w:cs="Calibri"/>
        </w:rPr>
        <w:t>behavioural</w:t>
      </w:r>
      <w:proofErr w:type="spellEnd"/>
      <w:r w:rsidRPr="00146850">
        <w:rPr>
          <w:rFonts w:ascii="Calibri" w:eastAsia="Calibri" w:hAnsi="Calibri" w:cs="Calibri"/>
        </w:rPr>
        <w:t xml:space="preserve"> therapy for adult depression, alone and in comparison with other treatments. The Canadian Journal of Psychiatry, 58(7), 376-385. </w:t>
      </w:r>
    </w:p>
    <w:p w14:paraId="54B8A6C4" w14:textId="24BDA074"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t xml:space="preserve">Gøtzsche, P. C., &amp; Gøtzsche, P. K. (2017). Cognitive </w:t>
      </w:r>
      <w:r w:rsidRPr="00146850">
        <w:rPr>
          <w:rFonts w:ascii="Calibri" w:eastAsia="Calibri" w:hAnsi="Calibri" w:cs="Calibri"/>
        </w:rPr>
        <w:t>behavioral</w:t>
      </w:r>
      <w:r w:rsidRPr="00146850">
        <w:rPr>
          <w:rFonts w:ascii="Calibri" w:eastAsia="Calibri" w:hAnsi="Calibri" w:cs="Calibri"/>
        </w:rPr>
        <w:t xml:space="preserve"> therapy halves the risk of repeated suicide attempts: Systematic review. Journal of the Royal Society of Medicine, 110(10), 404-410. </w:t>
      </w:r>
      <w:hyperlink r:id="rId12">
        <w:r w:rsidRPr="00146850">
          <w:rPr>
            <w:rStyle w:val="Hyperlink"/>
            <w:rFonts w:ascii="Calibri" w:eastAsia="Calibri" w:hAnsi="Calibri" w:cs="Calibri"/>
            <w:color w:val="auto"/>
          </w:rPr>
          <w:t>https://doi.org/10.1177/0141076817731904</w:t>
        </w:r>
      </w:hyperlink>
    </w:p>
    <w:p w14:paraId="4AE297D3" w14:textId="77777777"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lastRenderedPageBreak/>
        <w:t xml:space="preserve">Lewis, G., &amp; Lewis, G. (2016). No evidence that CBT is less effective than antidepressants in moderate to severe depression. Evidence Based Mental Health, 19(4), 125-125.  </w:t>
      </w:r>
    </w:p>
    <w:p w14:paraId="71E765B2" w14:textId="77777777"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t xml:space="preserve">Moore, R. G., &amp; Garland, A. (2004). Cognitive therapy for chronic and persistent depression. John Wiley &amp; Sons. </w:t>
      </w:r>
    </w:p>
    <w:p w14:paraId="55355B05" w14:textId="77777777"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t xml:space="preserve">Stanley, B., &amp; Brown, G. K. (2012). Safety planning intervention: a brief intervention to mitigate suicide risk. Cognitive and Behavioral Practice, 19(2), 256-264. </w:t>
      </w:r>
    </w:p>
    <w:p w14:paraId="7AF1A44E" w14:textId="77777777" w:rsidR="00146850" w:rsidRPr="00146850" w:rsidRDefault="00146850" w:rsidP="00146850">
      <w:pPr>
        <w:pStyle w:val="ListParagraph"/>
        <w:numPr>
          <w:ilvl w:val="0"/>
          <w:numId w:val="13"/>
        </w:numPr>
        <w:spacing w:line="279" w:lineRule="auto"/>
        <w:rPr>
          <w:rFonts w:ascii="Calibri" w:eastAsia="Calibri" w:hAnsi="Calibri" w:cs="Calibri"/>
        </w:rPr>
      </w:pPr>
      <w:r w:rsidRPr="00146850">
        <w:rPr>
          <w:rFonts w:ascii="Calibri" w:eastAsia="Calibri" w:hAnsi="Calibri" w:cs="Calibri"/>
        </w:rPr>
        <w:t>Whisman, M. A. (Ed.). (2008). Adapting cognitive therapy for depression: Managing complexity and comorbidity. Guilford Press</w:t>
      </w:r>
    </w:p>
    <w:p w14:paraId="70F21364" w14:textId="0C97E500" w:rsidR="75976B95" w:rsidRPr="004354D8" w:rsidRDefault="75976B95" w:rsidP="00146850">
      <w:pPr>
        <w:ind w:left="990" w:hanging="720"/>
      </w:pPr>
    </w:p>
    <w:sectPr w:rsidR="75976B95" w:rsidRPr="004354D8" w:rsidSect="003850C7">
      <w:pgSz w:w="12240" w:h="16340"/>
      <w:pgMar w:top="1080" w:right="720" w:bottom="1440" w:left="90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D4862"/>
    <w:multiLevelType w:val="hybridMultilevel"/>
    <w:tmpl w:val="57C48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C2A4D"/>
    <w:multiLevelType w:val="hybridMultilevel"/>
    <w:tmpl w:val="2D36F4EC"/>
    <w:lvl w:ilvl="0" w:tplc="A1ACC7BE">
      <w:start w:val="1"/>
      <w:numFmt w:val="decimal"/>
      <w:lvlText w:val="%1."/>
      <w:lvlJc w:val="left"/>
      <w:pPr>
        <w:ind w:left="720" w:hanging="360"/>
      </w:pPr>
    </w:lvl>
    <w:lvl w:ilvl="1" w:tplc="67301016">
      <w:start w:val="1"/>
      <w:numFmt w:val="lowerLetter"/>
      <w:lvlText w:val="%2."/>
      <w:lvlJc w:val="left"/>
      <w:pPr>
        <w:ind w:left="1440" w:hanging="360"/>
      </w:pPr>
    </w:lvl>
    <w:lvl w:ilvl="2" w:tplc="7548B56E">
      <w:start w:val="1"/>
      <w:numFmt w:val="lowerRoman"/>
      <w:lvlText w:val="%3."/>
      <w:lvlJc w:val="right"/>
      <w:pPr>
        <w:ind w:left="2160" w:hanging="180"/>
      </w:pPr>
    </w:lvl>
    <w:lvl w:ilvl="3" w:tplc="E0DCD69A">
      <w:start w:val="1"/>
      <w:numFmt w:val="decimal"/>
      <w:lvlText w:val="%4."/>
      <w:lvlJc w:val="left"/>
      <w:pPr>
        <w:ind w:left="2880" w:hanging="360"/>
      </w:pPr>
    </w:lvl>
    <w:lvl w:ilvl="4" w:tplc="7894624A">
      <w:start w:val="1"/>
      <w:numFmt w:val="lowerLetter"/>
      <w:lvlText w:val="%5."/>
      <w:lvlJc w:val="left"/>
      <w:pPr>
        <w:ind w:left="3600" w:hanging="360"/>
      </w:pPr>
    </w:lvl>
    <w:lvl w:ilvl="5" w:tplc="4C70FD22">
      <w:start w:val="1"/>
      <w:numFmt w:val="lowerRoman"/>
      <w:lvlText w:val="%6."/>
      <w:lvlJc w:val="right"/>
      <w:pPr>
        <w:ind w:left="4320" w:hanging="180"/>
      </w:pPr>
    </w:lvl>
    <w:lvl w:ilvl="6" w:tplc="8432D306">
      <w:start w:val="1"/>
      <w:numFmt w:val="decimal"/>
      <w:lvlText w:val="%7."/>
      <w:lvlJc w:val="left"/>
      <w:pPr>
        <w:ind w:left="5040" w:hanging="360"/>
      </w:pPr>
    </w:lvl>
    <w:lvl w:ilvl="7" w:tplc="28E4322C">
      <w:start w:val="1"/>
      <w:numFmt w:val="lowerLetter"/>
      <w:lvlText w:val="%8."/>
      <w:lvlJc w:val="left"/>
      <w:pPr>
        <w:ind w:left="5760" w:hanging="360"/>
      </w:pPr>
    </w:lvl>
    <w:lvl w:ilvl="8" w:tplc="0EBA5D56">
      <w:start w:val="1"/>
      <w:numFmt w:val="lowerRoman"/>
      <w:lvlText w:val="%9."/>
      <w:lvlJc w:val="right"/>
      <w:pPr>
        <w:ind w:left="6480" w:hanging="180"/>
      </w:pPr>
    </w:lvl>
  </w:abstractNum>
  <w:abstractNum w:abstractNumId="2" w15:restartNumberingAfterBreak="0">
    <w:nsid w:val="34BFA8D7"/>
    <w:multiLevelType w:val="hybridMultilevel"/>
    <w:tmpl w:val="35FEFB4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8937815"/>
    <w:multiLevelType w:val="hybridMultilevel"/>
    <w:tmpl w:val="2E6067DA"/>
    <w:lvl w:ilvl="0" w:tplc="C278F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0A2785"/>
    <w:multiLevelType w:val="hybridMultilevel"/>
    <w:tmpl w:val="BD4228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3F8C"/>
    <w:multiLevelType w:val="hybridMultilevel"/>
    <w:tmpl w:val="0D5CEC94"/>
    <w:lvl w:ilvl="0" w:tplc="C278F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74770"/>
    <w:multiLevelType w:val="hybridMultilevel"/>
    <w:tmpl w:val="B10A6FEC"/>
    <w:lvl w:ilvl="0" w:tplc="C278F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F38BEF"/>
    <w:multiLevelType w:val="hybridMultilevel"/>
    <w:tmpl w:val="08949908"/>
    <w:lvl w:ilvl="0" w:tplc="6634479E">
      <w:start w:val="1"/>
      <w:numFmt w:val="bullet"/>
      <w:lvlText w:val=""/>
      <w:lvlJc w:val="left"/>
      <w:pPr>
        <w:ind w:left="720" w:hanging="360"/>
      </w:pPr>
      <w:rPr>
        <w:rFonts w:ascii="Symbol" w:hAnsi="Symbol" w:hint="default"/>
      </w:rPr>
    </w:lvl>
    <w:lvl w:ilvl="1" w:tplc="FA66D8A8">
      <w:start w:val="1"/>
      <w:numFmt w:val="bullet"/>
      <w:lvlText w:val="o"/>
      <w:lvlJc w:val="left"/>
      <w:pPr>
        <w:ind w:left="1440" w:hanging="360"/>
      </w:pPr>
      <w:rPr>
        <w:rFonts w:ascii="Courier New" w:hAnsi="Courier New" w:hint="default"/>
      </w:rPr>
    </w:lvl>
    <w:lvl w:ilvl="2" w:tplc="4FC0F7E6">
      <w:start w:val="1"/>
      <w:numFmt w:val="bullet"/>
      <w:lvlText w:val=""/>
      <w:lvlJc w:val="left"/>
      <w:pPr>
        <w:ind w:left="2160" w:hanging="360"/>
      </w:pPr>
      <w:rPr>
        <w:rFonts w:ascii="Wingdings" w:hAnsi="Wingdings" w:hint="default"/>
      </w:rPr>
    </w:lvl>
    <w:lvl w:ilvl="3" w:tplc="DEA01B7E">
      <w:start w:val="1"/>
      <w:numFmt w:val="bullet"/>
      <w:lvlText w:val=""/>
      <w:lvlJc w:val="left"/>
      <w:pPr>
        <w:ind w:left="2880" w:hanging="360"/>
      </w:pPr>
      <w:rPr>
        <w:rFonts w:ascii="Symbol" w:hAnsi="Symbol" w:hint="default"/>
      </w:rPr>
    </w:lvl>
    <w:lvl w:ilvl="4" w:tplc="F274DC9E">
      <w:start w:val="1"/>
      <w:numFmt w:val="bullet"/>
      <w:lvlText w:val="o"/>
      <w:lvlJc w:val="left"/>
      <w:pPr>
        <w:ind w:left="3600" w:hanging="360"/>
      </w:pPr>
      <w:rPr>
        <w:rFonts w:ascii="Courier New" w:hAnsi="Courier New" w:hint="default"/>
      </w:rPr>
    </w:lvl>
    <w:lvl w:ilvl="5" w:tplc="4E70A6CC">
      <w:start w:val="1"/>
      <w:numFmt w:val="bullet"/>
      <w:lvlText w:val=""/>
      <w:lvlJc w:val="left"/>
      <w:pPr>
        <w:ind w:left="4320" w:hanging="360"/>
      </w:pPr>
      <w:rPr>
        <w:rFonts w:ascii="Wingdings" w:hAnsi="Wingdings" w:hint="default"/>
      </w:rPr>
    </w:lvl>
    <w:lvl w:ilvl="6" w:tplc="79AAD318">
      <w:start w:val="1"/>
      <w:numFmt w:val="bullet"/>
      <w:lvlText w:val=""/>
      <w:lvlJc w:val="left"/>
      <w:pPr>
        <w:ind w:left="5040" w:hanging="360"/>
      </w:pPr>
      <w:rPr>
        <w:rFonts w:ascii="Symbol" w:hAnsi="Symbol" w:hint="default"/>
      </w:rPr>
    </w:lvl>
    <w:lvl w:ilvl="7" w:tplc="D7CEB3C0">
      <w:start w:val="1"/>
      <w:numFmt w:val="bullet"/>
      <w:lvlText w:val="o"/>
      <w:lvlJc w:val="left"/>
      <w:pPr>
        <w:ind w:left="5760" w:hanging="360"/>
      </w:pPr>
      <w:rPr>
        <w:rFonts w:ascii="Courier New" w:hAnsi="Courier New" w:hint="default"/>
      </w:rPr>
    </w:lvl>
    <w:lvl w:ilvl="8" w:tplc="7CC657B4">
      <w:start w:val="1"/>
      <w:numFmt w:val="bullet"/>
      <w:lvlText w:val=""/>
      <w:lvlJc w:val="left"/>
      <w:pPr>
        <w:ind w:left="6480" w:hanging="360"/>
      </w:pPr>
      <w:rPr>
        <w:rFonts w:ascii="Wingdings" w:hAnsi="Wingdings" w:hint="default"/>
      </w:rPr>
    </w:lvl>
  </w:abstractNum>
  <w:abstractNum w:abstractNumId="8" w15:restartNumberingAfterBreak="0">
    <w:nsid w:val="56651747"/>
    <w:multiLevelType w:val="hybridMultilevel"/>
    <w:tmpl w:val="84009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8E7311"/>
    <w:multiLevelType w:val="hybridMultilevel"/>
    <w:tmpl w:val="62A6F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DF1AAB"/>
    <w:multiLevelType w:val="hybridMultilevel"/>
    <w:tmpl w:val="87F8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144B82"/>
    <w:multiLevelType w:val="hybridMultilevel"/>
    <w:tmpl w:val="EDA8003A"/>
    <w:lvl w:ilvl="0" w:tplc="C278F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ED4177"/>
    <w:multiLevelType w:val="hybridMultilevel"/>
    <w:tmpl w:val="7B9EE8A6"/>
    <w:lvl w:ilvl="0" w:tplc="B57A9DAE">
      <w:start w:val="1"/>
      <w:numFmt w:val="decimal"/>
      <w:lvlText w:val="%1."/>
      <w:lvlJc w:val="left"/>
      <w:pPr>
        <w:ind w:left="720" w:hanging="360"/>
      </w:pPr>
    </w:lvl>
    <w:lvl w:ilvl="1" w:tplc="C74A1290">
      <w:start w:val="1"/>
      <w:numFmt w:val="lowerLetter"/>
      <w:lvlText w:val="%2."/>
      <w:lvlJc w:val="left"/>
      <w:pPr>
        <w:ind w:left="1440" w:hanging="360"/>
      </w:pPr>
    </w:lvl>
    <w:lvl w:ilvl="2" w:tplc="99A6E03E">
      <w:start w:val="1"/>
      <w:numFmt w:val="lowerRoman"/>
      <w:lvlText w:val="%3."/>
      <w:lvlJc w:val="right"/>
      <w:pPr>
        <w:ind w:left="2160" w:hanging="180"/>
      </w:pPr>
    </w:lvl>
    <w:lvl w:ilvl="3" w:tplc="69149E68">
      <w:start w:val="1"/>
      <w:numFmt w:val="decimal"/>
      <w:lvlText w:val="%4."/>
      <w:lvlJc w:val="left"/>
      <w:pPr>
        <w:ind w:left="2880" w:hanging="360"/>
      </w:pPr>
    </w:lvl>
    <w:lvl w:ilvl="4" w:tplc="695A0B56">
      <w:start w:val="1"/>
      <w:numFmt w:val="lowerLetter"/>
      <w:lvlText w:val="%5."/>
      <w:lvlJc w:val="left"/>
      <w:pPr>
        <w:ind w:left="3600" w:hanging="360"/>
      </w:pPr>
    </w:lvl>
    <w:lvl w:ilvl="5" w:tplc="3F9833D8">
      <w:start w:val="1"/>
      <w:numFmt w:val="lowerRoman"/>
      <w:lvlText w:val="%6."/>
      <w:lvlJc w:val="right"/>
      <w:pPr>
        <w:ind w:left="4320" w:hanging="180"/>
      </w:pPr>
    </w:lvl>
    <w:lvl w:ilvl="6" w:tplc="51EA15E0">
      <w:start w:val="1"/>
      <w:numFmt w:val="decimal"/>
      <w:lvlText w:val="%7."/>
      <w:lvlJc w:val="left"/>
      <w:pPr>
        <w:ind w:left="5040" w:hanging="360"/>
      </w:pPr>
    </w:lvl>
    <w:lvl w:ilvl="7" w:tplc="8FFE7C00">
      <w:start w:val="1"/>
      <w:numFmt w:val="lowerLetter"/>
      <w:lvlText w:val="%8."/>
      <w:lvlJc w:val="left"/>
      <w:pPr>
        <w:ind w:left="5760" w:hanging="360"/>
      </w:pPr>
    </w:lvl>
    <w:lvl w:ilvl="8" w:tplc="8782F6E4">
      <w:start w:val="1"/>
      <w:numFmt w:val="lowerRoman"/>
      <w:lvlText w:val="%9."/>
      <w:lvlJc w:val="right"/>
      <w:pPr>
        <w:ind w:left="6480" w:hanging="180"/>
      </w:pPr>
    </w:lvl>
  </w:abstractNum>
  <w:num w:numId="1" w16cid:durableId="1561206462">
    <w:abstractNumId w:val="2"/>
  </w:num>
  <w:num w:numId="2" w16cid:durableId="1126243086">
    <w:abstractNumId w:val="0"/>
  </w:num>
  <w:num w:numId="3" w16cid:durableId="2113285284">
    <w:abstractNumId w:val="10"/>
  </w:num>
  <w:num w:numId="4" w16cid:durableId="60490824">
    <w:abstractNumId w:val="8"/>
  </w:num>
  <w:num w:numId="5" w16cid:durableId="770199831">
    <w:abstractNumId w:val="4"/>
  </w:num>
  <w:num w:numId="6" w16cid:durableId="1770002542">
    <w:abstractNumId w:val="9"/>
  </w:num>
  <w:num w:numId="7" w16cid:durableId="946161116">
    <w:abstractNumId w:val="5"/>
  </w:num>
  <w:num w:numId="8" w16cid:durableId="680814281">
    <w:abstractNumId w:val="11"/>
  </w:num>
  <w:num w:numId="9" w16cid:durableId="507404813">
    <w:abstractNumId w:val="3"/>
  </w:num>
  <w:num w:numId="10" w16cid:durableId="922420924">
    <w:abstractNumId w:val="6"/>
  </w:num>
  <w:num w:numId="11" w16cid:durableId="1301374675">
    <w:abstractNumId w:val="12"/>
  </w:num>
  <w:num w:numId="12" w16cid:durableId="1991517359">
    <w:abstractNumId w:val="1"/>
  </w:num>
  <w:num w:numId="13" w16cid:durableId="15674467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320"/>
    <w:rsid w:val="00003D27"/>
    <w:rsid w:val="00016C74"/>
    <w:rsid w:val="00065516"/>
    <w:rsid w:val="00074051"/>
    <w:rsid w:val="000816CB"/>
    <w:rsid w:val="000A3744"/>
    <w:rsid w:val="000C2BA2"/>
    <w:rsid w:val="000C43CE"/>
    <w:rsid w:val="000C532C"/>
    <w:rsid w:val="00146850"/>
    <w:rsid w:val="00173180"/>
    <w:rsid w:val="00190536"/>
    <w:rsid w:val="00190AF6"/>
    <w:rsid w:val="00196164"/>
    <w:rsid w:val="001C68E2"/>
    <w:rsid w:val="001D4E91"/>
    <w:rsid w:val="002375A3"/>
    <w:rsid w:val="0027127C"/>
    <w:rsid w:val="00284F6F"/>
    <w:rsid w:val="002C1B45"/>
    <w:rsid w:val="002F1CDC"/>
    <w:rsid w:val="002F6A90"/>
    <w:rsid w:val="00365408"/>
    <w:rsid w:val="003850C7"/>
    <w:rsid w:val="003A6392"/>
    <w:rsid w:val="003B12F6"/>
    <w:rsid w:val="00431129"/>
    <w:rsid w:val="004354D8"/>
    <w:rsid w:val="00444FCC"/>
    <w:rsid w:val="00464171"/>
    <w:rsid w:val="00493301"/>
    <w:rsid w:val="00495535"/>
    <w:rsid w:val="004E134E"/>
    <w:rsid w:val="004E4681"/>
    <w:rsid w:val="004F13B5"/>
    <w:rsid w:val="005022AA"/>
    <w:rsid w:val="00506AAB"/>
    <w:rsid w:val="005565D5"/>
    <w:rsid w:val="005A656C"/>
    <w:rsid w:val="005D3BB7"/>
    <w:rsid w:val="005F1CDC"/>
    <w:rsid w:val="006403BC"/>
    <w:rsid w:val="00640793"/>
    <w:rsid w:val="006A16A7"/>
    <w:rsid w:val="006A36E5"/>
    <w:rsid w:val="00767A40"/>
    <w:rsid w:val="007774A7"/>
    <w:rsid w:val="007A1F8D"/>
    <w:rsid w:val="007A27D9"/>
    <w:rsid w:val="008025CE"/>
    <w:rsid w:val="00817923"/>
    <w:rsid w:val="00826F34"/>
    <w:rsid w:val="008427E5"/>
    <w:rsid w:val="008C7BDF"/>
    <w:rsid w:val="00900AED"/>
    <w:rsid w:val="00930059"/>
    <w:rsid w:val="00940A01"/>
    <w:rsid w:val="00944019"/>
    <w:rsid w:val="009C7ED6"/>
    <w:rsid w:val="00A2376A"/>
    <w:rsid w:val="00A762B0"/>
    <w:rsid w:val="00A8637D"/>
    <w:rsid w:val="00A90357"/>
    <w:rsid w:val="00AE0F03"/>
    <w:rsid w:val="00B30F29"/>
    <w:rsid w:val="00B3651B"/>
    <w:rsid w:val="00BA1A80"/>
    <w:rsid w:val="00BA7827"/>
    <w:rsid w:val="00BD563F"/>
    <w:rsid w:val="00C20F47"/>
    <w:rsid w:val="00C5169B"/>
    <w:rsid w:val="00C72997"/>
    <w:rsid w:val="00CB2A7C"/>
    <w:rsid w:val="00CB31C5"/>
    <w:rsid w:val="00D02265"/>
    <w:rsid w:val="00D03EB8"/>
    <w:rsid w:val="00D34710"/>
    <w:rsid w:val="00D93F99"/>
    <w:rsid w:val="00DC648A"/>
    <w:rsid w:val="00DF43C0"/>
    <w:rsid w:val="00E10C14"/>
    <w:rsid w:val="00EC0F50"/>
    <w:rsid w:val="00EE5DD6"/>
    <w:rsid w:val="00EF55ED"/>
    <w:rsid w:val="00F44320"/>
    <w:rsid w:val="00FB218F"/>
    <w:rsid w:val="00FB37D4"/>
    <w:rsid w:val="00FE64F2"/>
    <w:rsid w:val="37569A64"/>
    <w:rsid w:val="75976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5D34F"/>
  <w14:defaultImageDpi w14:val="0"/>
  <w15:docId w15:val="{F372B205-452F-4985-9877-63938E6E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Calibri" w:hAnsi="Calibri" w:cs="Calibri"/>
      <w:color w:val="000000"/>
      <w:sz w:val="24"/>
      <w:szCs w:val="24"/>
    </w:rPr>
  </w:style>
  <w:style w:type="paragraph" w:customStyle="1" w:styleId="CM1">
    <w:name w:val="CM1"/>
    <w:basedOn w:val="Default"/>
    <w:next w:val="Default"/>
    <w:uiPriority w:val="99"/>
    <w:pPr>
      <w:spacing w:line="286" w:lineRule="atLeast"/>
    </w:pPr>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3">
    <w:name w:val="CM3"/>
    <w:basedOn w:val="Default"/>
    <w:next w:val="Default"/>
    <w:uiPriority w:val="99"/>
    <w:pPr>
      <w:spacing w:line="208" w:lineRule="atLeast"/>
    </w:pPr>
    <w:rPr>
      <w:rFonts w:cstheme="minorBidi"/>
      <w:color w:val="auto"/>
    </w:rPr>
  </w:style>
  <w:style w:type="paragraph" w:customStyle="1" w:styleId="CM9">
    <w:name w:val="CM9"/>
    <w:basedOn w:val="Default"/>
    <w:next w:val="Default"/>
    <w:uiPriority w:val="99"/>
    <w:rPr>
      <w:rFonts w:cstheme="minorBidi"/>
      <w:color w:val="auto"/>
    </w:rPr>
  </w:style>
  <w:style w:type="paragraph" w:customStyle="1" w:styleId="CM4">
    <w:name w:val="CM4"/>
    <w:basedOn w:val="Default"/>
    <w:next w:val="Default"/>
    <w:uiPriority w:val="99"/>
    <w:pPr>
      <w:spacing w:line="271" w:lineRule="atLeast"/>
    </w:pPr>
    <w:rPr>
      <w:rFonts w:cstheme="minorBidi"/>
      <w:color w:val="auto"/>
    </w:rPr>
  </w:style>
  <w:style w:type="paragraph" w:customStyle="1" w:styleId="CM5">
    <w:name w:val="CM5"/>
    <w:basedOn w:val="Default"/>
    <w:next w:val="Default"/>
    <w:uiPriority w:val="99"/>
    <w:pPr>
      <w:spacing w:line="268" w:lineRule="atLeast"/>
    </w:pPr>
    <w:rPr>
      <w:rFonts w:cstheme="minorBidi"/>
      <w:color w:val="auto"/>
    </w:rPr>
  </w:style>
  <w:style w:type="paragraph" w:styleId="ListParagraph">
    <w:name w:val="List Paragraph"/>
    <w:basedOn w:val="Normal"/>
    <w:uiPriority w:val="34"/>
    <w:qFormat/>
    <w:rsid w:val="006A36E5"/>
    <w:pPr>
      <w:ind w:left="720"/>
      <w:contextualSpacing/>
    </w:pPr>
  </w:style>
  <w:style w:type="table" w:styleId="TableGrid">
    <w:name w:val="Table Grid"/>
    <w:basedOn w:val="TableNormal"/>
    <w:uiPriority w:val="59"/>
    <w:rsid w:val="00284F6F"/>
    <w:pPr>
      <w:spacing w:after="0" w:line="240" w:lineRule="auto"/>
    </w:pPr>
    <w:rPr>
      <w:rFonts w:asciiTheme="majorHAnsi" w:eastAsiaTheme="minorHAnsi" w:hAnsiTheme="majorHAnsi" w:cstheme="majorBidi"/>
      <w:color w:val="0C9DA4"/>
      <w:sz w:val="32"/>
      <w:szCs w:val="3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E13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06214">
      <w:bodyDiv w:val="1"/>
      <w:marLeft w:val="0"/>
      <w:marRight w:val="0"/>
      <w:marTop w:val="0"/>
      <w:marBottom w:val="0"/>
      <w:divBdr>
        <w:top w:val="none" w:sz="0" w:space="0" w:color="auto"/>
        <w:left w:val="none" w:sz="0" w:space="0" w:color="auto"/>
        <w:bottom w:val="none" w:sz="0" w:space="0" w:color="auto"/>
        <w:right w:val="none" w:sz="0" w:space="0" w:color="auto"/>
      </w:divBdr>
    </w:div>
    <w:div w:id="778795470">
      <w:bodyDiv w:val="1"/>
      <w:marLeft w:val="0"/>
      <w:marRight w:val="0"/>
      <w:marTop w:val="0"/>
      <w:marBottom w:val="0"/>
      <w:divBdr>
        <w:top w:val="none" w:sz="0" w:space="0" w:color="auto"/>
        <w:left w:val="none" w:sz="0" w:space="0" w:color="auto"/>
        <w:bottom w:val="none" w:sz="0" w:space="0" w:color="auto"/>
        <w:right w:val="none" w:sz="0" w:space="0" w:color="auto"/>
      </w:divBdr>
    </w:div>
    <w:div w:id="1047921346">
      <w:bodyDiv w:val="1"/>
      <w:marLeft w:val="0"/>
      <w:marRight w:val="0"/>
      <w:marTop w:val="0"/>
      <w:marBottom w:val="0"/>
      <w:divBdr>
        <w:top w:val="none" w:sz="0" w:space="0" w:color="auto"/>
        <w:left w:val="none" w:sz="0" w:space="0" w:color="auto"/>
        <w:bottom w:val="none" w:sz="0" w:space="0" w:color="auto"/>
        <w:right w:val="none" w:sz="0" w:space="0" w:color="auto"/>
      </w:divBdr>
    </w:div>
    <w:div w:id="1206407233">
      <w:bodyDiv w:val="1"/>
      <w:marLeft w:val="0"/>
      <w:marRight w:val="0"/>
      <w:marTop w:val="0"/>
      <w:marBottom w:val="0"/>
      <w:divBdr>
        <w:top w:val="none" w:sz="0" w:space="0" w:color="auto"/>
        <w:left w:val="none" w:sz="0" w:space="0" w:color="auto"/>
        <w:bottom w:val="none" w:sz="0" w:space="0" w:color="auto"/>
        <w:right w:val="none" w:sz="0" w:space="0" w:color="auto"/>
      </w:divBdr>
    </w:div>
    <w:div w:id="1287202310">
      <w:bodyDiv w:val="1"/>
      <w:marLeft w:val="0"/>
      <w:marRight w:val="0"/>
      <w:marTop w:val="0"/>
      <w:marBottom w:val="0"/>
      <w:divBdr>
        <w:top w:val="none" w:sz="0" w:space="0" w:color="auto"/>
        <w:left w:val="none" w:sz="0" w:space="0" w:color="auto"/>
        <w:bottom w:val="none" w:sz="0" w:space="0" w:color="auto"/>
        <w:right w:val="none" w:sz="0" w:space="0" w:color="auto"/>
      </w:divBdr>
    </w:div>
    <w:div w:id="1437404851">
      <w:bodyDiv w:val="1"/>
      <w:marLeft w:val="0"/>
      <w:marRight w:val="0"/>
      <w:marTop w:val="0"/>
      <w:marBottom w:val="0"/>
      <w:divBdr>
        <w:top w:val="none" w:sz="0" w:space="0" w:color="auto"/>
        <w:left w:val="none" w:sz="0" w:space="0" w:color="auto"/>
        <w:bottom w:val="none" w:sz="0" w:space="0" w:color="auto"/>
        <w:right w:val="none" w:sz="0" w:space="0" w:color="auto"/>
      </w:divBdr>
    </w:div>
    <w:div w:id="14621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177/014107681773190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41844D5CF2D469D40AFB09EF621EC" ma:contentTypeVersion="21" ma:contentTypeDescription="Create a new document." ma:contentTypeScope="" ma:versionID="bb7eac81a87273a9d5e2aaae6c4b9fb6">
  <xsd:schema xmlns:xsd="http://www.w3.org/2001/XMLSchema" xmlns:xs="http://www.w3.org/2001/XMLSchema" xmlns:p="http://schemas.microsoft.com/office/2006/metadata/properties" xmlns:ns2="7a27ca32-a591-400c-8a01-09364c4e8409" xmlns:ns3="0307dd00-7338-4e79-af5a-bdf8ad00d0fe" targetNamespace="http://schemas.microsoft.com/office/2006/metadata/properties" ma:root="true" ma:fieldsID="3be63f42f947495b25807bad85e1b46c" ns2:_="" ns3:_="">
    <xsd:import namespace="7a27ca32-a591-400c-8a01-09364c4e8409"/>
    <xsd:import namespace="0307dd00-7338-4e79-af5a-bdf8ad00d0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Finalversion" minOccurs="0"/>
                <xsd:element ref="ns2:comments" minOccurs="0"/>
                <xsd:element ref="ns2:Priority"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27ca32-a591-400c-8a01-09364c4e8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Finalversion" ma:index="20" nillable="true" ma:displayName="Final version" ma:format="Dropdown" ma:indexed="true" ma:internalName="Finalversion">
      <xsd:simpleType>
        <xsd:union memberTypes="dms:Text">
          <xsd:simpleType>
            <xsd:restriction base="dms:Choice">
              <xsd:enumeration value="Final version"/>
              <xsd:enumeration value="Edits needed"/>
              <xsd:enumeration value="Not using"/>
            </xsd:restriction>
          </xsd:simpleType>
        </xsd:union>
      </xsd:simpleType>
    </xsd:element>
    <xsd:element name="comments" ma:index="21" nillable="true" ma:displayName="comments" ma:internalName="comments">
      <xsd:simpleType>
        <xsd:restriction base="dms:Note">
          <xsd:maxLength value="255"/>
        </xsd:restriction>
      </xsd:simpleType>
    </xsd:element>
    <xsd:element name="Priority" ma:index="22" nillable="true" ma:displayName="Priority" ma:description="How soon is this image needed?" ma:format="Dropdown" ma:indexed="true" ma:internalName="Priority">
      <xsd:simpleType>
        <xsd:restriction base="dms:Choice">
          <xsd:enumeration value="1 - ASAP"/>
          <xsd:enumeration value="2 - within a month"/>
          <xsd:enumeration value="3 - couple of months"/>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fec0442-94dd-4e37-8e58-e357c75f7c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07dd00-7338-4e79-af5a-bdf8ad00d0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f2455c-eafd-4d78-9b7e-e73926b91c58}" ma:internalName="TaxCatchAll" ma:showField="CatchAllData" ma:web="0307dd00-7338-4e79-af5a-bdf8ad00d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Finalversion xmlns="7a27ca32-a591-400c-8a01-09364c4e8409" xsi:nil="true"/>
    <Priority xmlns="7a27ca32-a591-400c-8a01-09364c4e8409" xsi:nil="true"/>
    <comments xmlns="7a27ca32-a591-400c-8a01-09364c4e8409" xsi:nil="true"/>
    <TaxCatchAll xmlns="0307dd00-7338-4e79-af5a-bdf8ad00d0fe" xsi:nil="true"/>
    <lcf76f155ced4ddcb4097134ff3c332f xmlns="7a27ca32-a591-400c-8a01-09364c4e840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934695-1B7F-4325-9FE0-EC52BD32A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27ca32-a591-400c-8a01-09364c4e8409"/>
    <ds:schemaRef ds:uri="0307dd00-7338-4e79-af5a-bdf8ad00d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01FBE-AEEB-4F70-92FA-106987CF8EB6}">
  <ds:schemaRefs>
    <ds:schemaRef ds:uri="http://schemas.openxmlformats.org/officeDocument/2006/bibliography"/>
  </ds:schemaRefs>
</ds:datastoreItem>
</file>

<file path=customXml/itemProps3.xml><?xml version="1.0" encoding="utf-8"?>
<ds:datastoreItem xmlns:ds="http://schemas.openxmlformats.org/officeDocument/2006/customXml" ds:itemID="{043FDD5F-5264-4A22-B25E-A545B69C793E}">
  <ds:schemaRefs>
    <ds:schemaRef ds:uri="http://schemas.microsoft.com/office/2006/metadata/properties"/>
    <ds:schemaRef ds:uri="http://schemas.microsoft.com/office/infopath/2007/PartnerControls"/>
    <ds:schemaRef ds:uri="7a27ca32-a591-400c-8a01-09364c4e8409"/>
    <ds:schemaRef ds:uri="0307dd00-7338-4e79-af5a-bdf8ad00d0fe"/>
  </ds:schemaRefs>
</ds:datastoreItem>
</file>

<file path=customXml/itemProps4.xml><?xml version="1.0" encoding="utf-8"?>
<ds:datastoreItem xmlns:ds="http://schemas.openxmlformats.org/officeDocument/2006/customXml" ds:itemID="{577F8FE2-45B8-406D-9468-D1BC71B610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1762</Words>
  <Characters>10049</Characters>
  <Application>Microsoft Office Word</Application>
  <DocSecurity>0</DocSecurity>
  <Lines>83</Lines>
  <Paragraphs>23</Paragraphs>
  <ScaleCrop>false</ScaleCrop>
  <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BECK INSTITUTE</dc:title>
  <dc:subject/>
  <dc:creator>BECK</dc:creator>
  <cp:keywords/>
  <dc:description/>
  <cp:lastModifiedBy>Casey Rogers</cp:lastModifiedBy>
  <cp:revision>3</cp:revision>
  <dcterms:created xsi:type="dcterms:W3CDTF">2025-09-08T23:43:00Z</dcterms:created>
  <dcterms:modified xsi:type="dcterms:W3CDTF">2025-09-08T23:44:00Z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0x0101001C941844D5CF2D469D40AFB09EF621EC</vt:lpwstr>
  </property>
</Properties>
</file>